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2C0B" w:rsidRPr="004A2C0B" w:rsidRDefault="004A2C0B" w:rsidP="00D44968">
      <w:pPr>
        <w:suppressLineNumbers/>
        <w:rPr>
          <w:b/>
          <w:bCs/>
          <w:noProof/>
          <w:rtl/>
        </w:rPr>
      </w:pPr>
      <w:bookmarkStart w:id="0" w:name="_GoBack"/>
      <w:bookmarkEnd w:id="0"/>
      <w:r w:rsidRPr="004A2C0B">
        <w:rPr>
          <w:rFonts w:hint="cs"/>
          <w:b/>
          <w:bCs/>
          <w:noProof/>
          <w:rtl/>
        </w:rPr>
        <w:t>בפני</w:t>
      </w:r>
      <w:r w:rsidRPr="004A2C0B">
        <w:rPr>
          <w:rFonts w:hint="cs"/>
          <w:b/>
          <w:bCs/>
          <w:noProof/>
          <w:rtl/>
        </w:rPr>
        <w:tab/>
        <w:t>כבוד השופט אריה נאמן</w:t>
      </w:r>
    </w:p>
    <w:p w:rsidR="004A2C0B" w:rsidRDefault="004A2C0B" w:rsidP="00D44968">
      <w:pPr>
        <w:suppressLineNumbers/>
        <w:rPr>
          <w:noProof/>
          <w:rtl/>
        </w:rPr>
      </w:pPr>
    </w:p>
    <w:p w:rsidR="004A2C0B" w:rsidRPr="004A2C0B" w:rsidRDefault="004A2C0B" w:rsidP="00D44968">
      <w:pPr>
        <w:suppressLineNumbers/>
        <w:rPr>
          <w:b/>
          <w:bCs/>
          <w:noProof/>
          <w:rtl/>
        </w:rPr>
      </w:pPr>
    </w:p>
    <w:p w:rsidR="004A2C0B" w:rsidRPr="004A2C0B" w:rsidRDefault="004A2C0B" w:rsidP="00D44968">
      <w:pPr>
        <w:suppressLineNumbers/>
        <w:rPr>
          <w:b/>
          <w:bCs/>
          <w:noProof/>
          <w:rtl/>
        </w:rPr>
      </w:pPr>
      <w:r w:rsidRPr="004A2C0B">
        <w:rPr>
          <w:rFonts w:hint="cs"/>
          <w:b/>
          <w:bCs/>
          <w:noProof/>
          <w:rtl/>
        </w:rPr>
        <w:t>המבקש:</w:t>
      </w:r>
      <w:r w:rsidRPr="004A2C0B">
        <w:rPr>
          <w:b/>
          <w:bCs/>
          <w:noProof/>
          <w:rtl/>
        </w:rPr>
        <w:tab/>
      </w:r>
      <w:r w:rsidRPr="004A2C0B">
        <w:rPr>
          <w:b/>
          <w:bCs/>
          <w:noProof/>
          <w:rtl/>
        </w:rPr>
        <w:tab/>
      </w:r>
      <w:r w:rsidRPr="004A2C0B">
        <w:rPr>
          <w:b/>
          <w:bCs/>
          <w:noProof/>
          <w:rtl/>
        </w:rPr>
        <w:tab/>
      </w:r>
      <w:r w:rsidRPr="004A2C0B">
        <w:rPr>
          <w:rFonts w:hint="cs"/>
          <w:b/>
          <w:bCs/>
          <w:noProof/>
          <w:rtl/>
        </w:rPr>
        <w:t>א.י</w:t>
      </w:r>
    </w:p>
    <w:p w:rsidR="004A2C0B" w:rsidRPr="004A2C0B" w:rsidRDefault="004A2C0B" w:rsidP="00D44968">
      <w:pPr>
        <w:suppressLineNumbers/>
        <w:rPr>
          <w:b/>
          <w:bCs/>
          <w:noProof/>
          <w:rtl/>
        </w:rPr>
      </w:pPr>
      <w:r w:rsidRPr="004A2C0B">
        <w:rPr>
          <w:b/>
          <w:bCs/>
          <w:noProof/>
          <w:rtl/>
        </w:rPr>
        <w:tab/>
      </w:r>
      <w:r w:rsidRPr="004A2C0B">
        <w:rPr>
          <w:b/>
          <w:bCs/>
          <w:noProof/>
          <w:rtl/>
        </w:rPr>
        <w:tab/>
      </w:r>
      <w:r w:rsidRPr="004A2C0B">
        <w:rPr>
          <w:b/>
          <w:bCs/>
          <w:noProof/>
          <w:rtl/>
        </w:rPr>
        <w:tab/>
      </w:r>
      <w:r w:rsidRPr="004A2C0B">
        <w:rPr>
          <w:b/>
          <w:bCs/>
          <w:noProof/>
          <w:rtl/>
        </w:rPr>
        <w:tab/>
      </w:r>
      <w:r w:rsidRPr="004A2C0B">
        <w:rPr>
          <w:rFonts w:hint="cs"/>
          <w:b/>
          <w:bCs/>
          <w:noProof/>
          <w:rtl/>
        </w:rPr>
        <w:t>ע"י ב"כ עוה"ד יניב ערבה</w:t>
      </w:r>
    </w:p>
    <w:p w:rsidR="004A2C0B" w:rsidRPr="004A2C0B" w:rsidRDefault="004A2C0B" w:rsidP="00D44968">
      <w:pPr>
        <w:suppressLineNumbers/>
        <w:rPr>
          <w:b/>
          <w:bCs/>
          <w:noProof/>
          <w:rtl/>
        </w:rPr>
      </w:pPr>
    </w:p>
    <w:p w:rsidR="004A2C0B" w:rsidRPr="004A2C0B" w:rsidRDefault="004A2C0B" w:rsidP="00D44968">
      <w:pPr>
        <w:suppressLineNumbers/>
        <w:rPr>
          <w:b/>
          <w:bCs/>
          <w:noProof/>
          <w:rtl/>
        </w:rPr>
      </w:pPr>
      <w:r w:rsidRPr="004A2C0B">
        <w:rPr>
          <w:b/>
          <w:bCs/>
          <w:noProof/>
          <w:rtl/>
        </w:rPr>
        <w:tab/>
      </w:r>
      <w:r w:rsidRPr="004A2C0B">
        <w:rPr>
          <w:b/>
          <w:bCs/>
          <w:noProof/>
          <w:rtl/>
        </w:rPr>
        <w:tab/>
      </w:r>
      <w:r w:rsidRPr="004A2C0B">
        <w:rPr>
          <w:b/>
          <w:bCs/>
          <w:noProof/>
          <w:rtl/>
        </w:rPr>
        <w:tab/>
      </w:r>
      <w:r w:rsidRPr="004A2C0B">
        <w:rPr>
          <w:b/>
          <w:bCs/>
          <w:noProof/>
          <w:rtl/>
        </w:rPr>
        <w:tab/>
      </w:r>
      <w:r w:rsidRPr="004A2C0B">
        <w:rPr>
          <w:b/>
          <w:bCs/>
          <w:noProof/>
          <w:rtl/>
        </w:rPr>
        <w:tab/>
      </w:r>
      <w:r w:rsidRPr="004A2C0B">
        <w:rPr>
          <w:rFonts w:hint="cs"/>
          <w:b/>
          <w:bCs/>
          <w:noProof/>
          <w:rtl/>
        </w:rPr>
        <w:t>נגד</w:t>
      </w:r>
    </w:p>
    <w:p w:rsidR="004A2C0B" w:rsidRPr="004A2C0B" w:rsidRDefault="004A2C0B" w:rsidP="00D44968">
      <w:pPr>
        <w:suppressLineNumbers/>
        <w:rPr>
          <w:b/>
          <w:bCs/>
          <w:noProof/>
          <w:rtl/>
        </w:rPr>
      </w:pPr>
    </w:p>
    <w:p w:rsidR="004A2C0B" w:rsidRPr="004A2C0B" w:rsidRDefault="004A2C0B" w:rsidP="00D44968">
      <w:pPr>
        <w:suppressLineNumbers/>
        <w:rPr>
          <w:b/>
          <w:bCs/>
          <w:noProof/>
          <w:rtl/>
        </w:rPr>
      </w:pPr>
      <w:r w:rsidRPr="004A2C0B">
        <w:rPr>
          <w:rFonts w:hint="cs"/>
          <w:b/>
          <w:bCs/>
          <w:noProof/>
          <w:rtl/>
        </w:rPr>
        <w:t>המשיבה:</w:t>
      </w:r>
      <w:r w:rsidRPr="004A2C0B">
        <w:rPr>
          <w:rFonts w:hint="cs"/>
          <w:b/>
          <w:bCs/>
          <w:noProof/>
          <w:rtl/>
        </w:rPr>
        <w:tab/>
      </w:r>
      <w:r w:rsidRPr="004A2C0B">
        <w:rPr>
          <w:b/>
          <w:bCs/>
          <w:noProof/>
          <w:rtl/>
        </w:rPr>
        <w:tab/>
      </w:r>
      <w:r w:rsidRPr="004A2C0B">
        <w:rPr>
          <w:b/>
          <w:bCs/>
          <w:noProof/>
          <w:rtl/>
        </w:rPr>
        <w:tab/>
      </w:r>
      <w:r w:rsidRPr="004A2C0B">
        <w:rPr>
          <w:rFonts w:hint="cs"/>
          <w:b/>
          <w:bCs/>
          <w:noProof/>
          <w:rtl/>
        </w:rPr>
        <w:t>א.א.</w:t>
      </w:r>
    </w:p>
    <w:p w:rsidR="004A2C0B" w:rsidRDefault="004A2C0B" w:rsidP="00D44968">
      <w:pPr>
        <w:suppressLineNumbers/>
        <w:rPr>
          <w:noProof/>
          <w:rtl/>
        </w:rPr>
      </w:pPr>
      <w:r w:rsidRPr="004A2C0B">
        <w:rPr>
          <w:b/>
          <w:bCs/>
          <w:noProof/>
          <w:rtl/>
        </w:rPr>
        <w:tab/>
      </w:r>
      <w:r w:rsidRPr="004A2C0B">
        <w:rPr>
          <w:b/>
          <w:bCs/>
          <w:noProof/>
          <w:rtl/>
        </w:rPr>
        <w:tab/>
      </w:r>
      <w:r w:rsidRPr="004A2C0B">
        <w:rPr>
          <w:b/>
          <w:bCs/>
          <w:noProof/>
          <w:rtl/>
        </w:rPr>
        <w:tab/>
      </w:r>
      <w:r w:rsidRPr="004A2C0B">
        <w:rPr>
          <w:b/>
          <w:bCs/>
          <w:noProof/>
          <w:rtl/>
        </w:rPr>
        <w:tab/>
      </w:r>
      <w:r w:rsidRPr="004A2C0B">
        <w:rPr>
          <w:rFonts w:hint="cs"/>
          <w:b/>
          <w:bCs/>
          <w:noProof/>
          <w:rtl/>
        </w:rPr>
        <w:t xml:space="preserve">ע"ב ב"כ עוה"ד קרן הכהן </w:t>
      </w:r>
      <w:r w:rsidRPr="004A2C0B">
        <w:rPr>
          <w:b/>
          <w:bCs/>
          <w:noProof/>
          <w:rtl/>
        </w:rPr>
        <w:tab/>
      </w:r>
      <w:r>
        <w:rPr>
          <w:rFonts w:hint="cs"/>
          <w:noProof/>
          <w:rtl/>
        </w:rPr>
        <w:t xml:space="preserve">                                                               </w:t>
      </w:r>
    </w:p>
    <w:p w:rsidR="004A2C0B" w:rsidRDefault="004A2C0B" w:rsidP="00D44968">
      <w:pPr>
        <w:suppressLineNumbers/>
        <w:rPr>
          <w:noProof/>
          <w:rtl/>
        </w:rPr>
      </w:pPr>
    </w:p>
    <w:p w:rsidR="004A2C0B" w:rsidRDefault="004A2C0B" w:rsidP="00D44968">
      <w:pPr>
        <w:suppressLineNumbers/>
        <w:rPr>
          <w:noProof/>
          <w:rtl/>
        </w:rPr>
      </w:pPr>
    </w:p>
    <w:p w:rsidR="004A2C0B" w:rsidRDefault="004A2C0B" w:rsidP="00D44968">
      <w:pPr>
        <w:suppressLineNumbers/>
        <w:rPr>
          <w:noProof/>
          <w:rtl/>
        </w:rPr>
      </w:pPr>
    </w:p>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sz w:val="28"/>
                <w:szCs w:val="28"/>
                <w:u w:val="single"/>
                <w:rtl/>
              </w:rPr>
            </w:pPr>
            <w:r>
              <w:rPr>
                <w:rFonts w:ascii="Arial" w:hAnsi="Arial" w:hint="cs"/>
                <w:b/>
                <w:bCs/>
                <w:sz w:val="28"/>
                <w:szCs w:val="28"/>
                <w:u w:val="single"/>
                <w:rtl/>
              </w:rPr>
              <w:t>פסק דין</w:t>
            </w:r>
          </w:p>
          <w:p w:rsidR="00D44968" w:rsidRPr="00D44968" w:rsidRDefault="00D44968" w:rsidP="00D44968">
            <w:pPr>
              <w:bidi w:val="0"/>
              <w:jc w:val="center"/>
              <w:rPr>
                <w:rFonts w:ascii="Arial" w:hAnsi="Arial"/>
                <w:b/>
                <w:bCs/>
                <w:sz w:val="28"/>
                <w:szCs w:val="28"/>
                <w:u w:val="single"/>
              </w:rPr>
            </w:pPr>
          </w:p>
        </w:tc>
      </w:tr>
    </w:tbl>
    <w:p w:rsidR="0096306F" w:rsidRPr="00835CDF" w:rsidRDefault="0096306F" w:rsidP="0096306F">
      <w:pPr>
        <w:spacing w:line="360" w:lineRule="auto"/>
        <w:jc w:val="both"/>
        <w:rPr>
          <w:rFonts w:ascii="Calibri" w:eastAsia="Calibri" w:hAnsi="Calibri"/>
        </w:rPr>
      </w:pPr>
      <w:bookmarkStart w:id="1" w:name="NGCSBookmark"/>
      <w:bookmarkEnd w:id="1"/>
      <w:r w:rsidRPr="00835CDF">
        <w:rPr>
          <w:rFonts w:ascii="Calibri" w:eastAsia="Calibri" w:hAnsi="Calibri"/>
          <w:rtl/>
        </w:rPr>
        <w:t>בפניי בקשת רשות ערעור על החלטת בימ"ש קמא מיום</w:t>
      </w:r>
      <w:r>
        <w:rPr>
          <w:rFonts w:ascii="Calibri" w:eastAsia="Calibri" w:hAnsi="Calibri" w:hint="cs"/>
          <w:rtl/>
        </w:rPr>
        <w:t xml:space="preserve"> 24.5.23</w:t>
      </w:r>
      <w:r w:rsidRPr="00835CDF">
        <w:rPr>
          <w:rFonts w:ascii="Calibri" w:eastAsia="Calibri" w:hAnsi="Calibri"/>
          <w:rtl/>
        </w:rPr>
        <w:t xml:space="preserve"> (</w:t>
      </w:r>
      <w:r>
        <w:rPr>
          <w:rFonts w:ascii="Calibri" w:eastAsia="Calibri" w:hAnsi="Calibri" w:hint="cs"/>
          <w:rtl/>
        </w:rPr>
        <w:t xml:space="preserve">סגן הנשיאה </w:t>
      </w:r>
      <w:r w:rsidRPr="00835CDF">
        <w:rPr>
          <w:rFonts w:ascii="Calibri" w:eastAsia="Calibri" w:hAnsi="Calibri"/>
          <w:rtl/>
        </w:rPr>
        <w:t xml:space="preserve">כב' השופט </w:t>
      </w:r>
      <w:r>
        <w:rPr>
          <w:rFonts w:ascii="Calibri" w:eastAsia="Calibri" w:hAnsi="Calibri" w:hint="cs"/>
          <w:rtl/>
        </w:rPr>
        <w:t>טל פפרני)</w:t>
      </w:r>
      <w:r w:rsidRPr="00835CDF">
        <w:rPr>
          <w:rFonts w:ascii="Calibri" w:eastAsia="Calibri" w:hAnsi="Calibri"/>
          <w:rtl/>
        </w:rPr>
        <w:t xml:space="preserve"> במסגרת</w:t>
      </w:r>
      <w:r>
        <w:rPr>
          <w:rFonts w:ascii="Calibri" w:eastAsia="Calibri" w:hAnsi="Calibri" w:hint="cs"/>
          <w:rtl/>
        </w:rPr>
        <w:t>ה</w:t>
      </w:r>
      <w:r w:rsidRPr="00835CDF">
        <w:rPr>
          <w:rFonts w:ascii="Calibri" w:eastAsia="Calibri" w:hAnsi="Calibri"/>
          <w:rtl/>
        </w:rPr>
        <w:t xml:space="preserve"> </w:t>
      </w:r>
      <w:r>
        <w:rPr>
          <w:rFonts w:ascii="Calibri" w:eastAsia="Calibri" w:hAnsi="Calibri" w:hint="cs"/>
          <w:rtl/>
        </w:rPr>
        <w:t xml:space="preserve">דחה את בקשת המבקש לחייב את המשיבה במזונות </w:t>
      </w:r>
      <w:r w:rsidR="009731CD">
        <w:rPr>
          <w:rFonts w:ascii="Calibri" w:eastAsia="Calibri" w:hAnsi="Calibri" w:hint="cs"/>
          <w:rtl/>
        </w:rPr>
        <w:t xml:space="preserve">זמניים בגין </w:t>
      </w:r>
      <w:r>
        <w:rPr>
          <w:rFonts w:ascii="Calibri" w:eastAsia="Calibri" w:hAnsi="Calibri" w:hint="cs"/>
          <w:rtl/>
        </w:rPr>
        <w:t>ילדיהם הקטינים.</w:t>
      </w:r>
      <w:r w:rsidRPr="00835CDF">
        <w:rPr>
          <w:rFonts w:ascii="Calibri" w:eastAsia="Calibri" w:hAnsi="Calibri"/>
          <w:rtl/>
        </w:rPr>
        <w:t xml:space="preserve"> </w:t>
      </w:r>
    </w:p>
    <w:p w:rsidR="0096306F" w:rsidRDefault="0096306F" w:rsidP="00BA7BF1">
      <w:pPr>
        <w:spacing w:line="360" w:lineRule="auto"/>
        <w:jc w:val="both"/>
        <w:rPr>
          <w:rFonts w:ascii="Aharoni" w:eastAsia="Calibri" w:hAnsi="Aharoni" w:cs="Aharoni"/>
        </w:rPr>
      </w:pPr>
      <w:r>
        <w:rPr>
          <w:rFonts w:ascii="Aharoni" w:eastAsia="Calibri" w:hAnsi="Aharoni" w:cs="Aharoni"/>
          <w:rtl/>
        </w:rPr>
        <w:t xml:space="preserve"> [</w:t>
      </w:r>
      <w:r>
        <w:rPr>
          <w:rFonts w:ascii="Aharoni" w:eastAsia="Calibri" w:hAnsi="Aharoni" w:cs="Aharoni"/>
          <w:b/>
          <w:bCs/>
          <w:u w:val="single"/>
          <w:rtl/>
        </w:rPr>
        <w:t>הערה</w:t>
      </w:r>
      <w:r>
        <w:rPr>
          <w:rFonts w:ascii="Aharoni" w:eastAsia="Calibri" w:hAnsi="Aharoni" w:cs="Aharoni"/>
          <w:rtl/>
        </w:rPr>
        <w:t>: ההדגשות בציטוטים שיובאו בפסה"ד להלן, אינן במקור ונועדו לשם ההדגשה בלבד]</w:t>
      </w:r>
    </w:p>
    <w:p w:rsidR="0096306F" w:rsidRPr="00BA7BF1" w:rsidRDefault="0096306F" w:rsidP="00835CDF">
      <w:pPr>
        <w:spacing w:line="360" w:lineRule="auto"/>
        <w:ind w:left="84"/>
        <w:jc w:val="both"/>
        <w:rPr>
          <w:rFonts w:ascii="Arial" w:eastAsia="Calibri" w:hAnsi="Arial"/>
          <w:b/>
          <w:bCs/>
        </w:rPr>
      </w:pPr>
    </w:p>
    <w:p w:rsidR="0096306F" w:rsidRPr="00022A83" w:rsidRDefault="0096306F" w:rsidP="0096306F">
      <w:pPr>
        <w:spacing w:line="360" w:lineRule="auto"/>
        <w:jc w:val="both"/>
        <w:rPr>
          <w:rFonts w:ascii="Arial" w:eastAsia="Calibri" w:hAnsi="Arial"/>
          <w:rtl/>
        </w:rPr>
      </w:pPr>
      <w:r w:rsidRPr="00022A83">
        <w:rPr>
          <w:rFonts w:ascii="Arial" w:eastAsia="Calibri" w:hAnsi="Arial"/>
          <w:b/>
          <w:bCs/>
          <w:rtl/>
        </w:rPr>
        <w:t>לאחר עיון בבקשת רשות הערעור על נספחיה ובתיק קמא, ומכח סמכותי על פי תקנות 138(א)(1)(5) לתקנות סדר הדין האזרחי, תשע"ט-2018 (להלן: "התקנות"),</w:t>
      </w:r>
      <w:r>
        <w:rPr>
          <w:rFonts w:ascii="Arial" w:eastAsia="Calibri" w:hAnsi="Arial" w:hint="cs"/>
          <w:b/>
          <w:bCs/>
          <w:rtl/>
        </w:rPr>
        <w:t xml:space="preserve"> </w:t>
      </w:r>
      <w:r w:rsidRPr="00022A83">
        <w:rPr>
          <w:rFonts w:ascii="David" w:eastAsia="Calibri" w:hAnsi="David"/>
          <w:b/>
          <w:bCs/>
          <w:rtl/>
        </w:rPr>
        <w:t>אשר הוחלו גם על בקשות רשות ערעור בענייני משפחה מכוח</w:t>
      </w:r>
      <w:r w:rsidRPr="00022A83">
        <w:rPr>
          <w:rFonts w:ascii="Garamond" w:eastAsia="Calibri" w:hAnsi="Garamond"/>
          <w:b/>
          <w:bCs/>
          <w:rtl/>
        </w:rPr>
        <w:t xml:space="preserve"> </w:t>
      </w:r>
      <w:r w:rsidRPr="00022A83">
        <w:rPr>
          <w:rFonts w:ascii="David" w:eastAsia="Calibri" w:hAnsi="David"/>
          <w:b/>
          <w:bCs/>
          <w:rtl/>
        </w:rPr>
        <w:t>תקנה 44 ל</w:t>
      </w:r>
      <w:hyperlink r:id="rId8" w:history="1">
        <w:r w:rsidRPr="00022A83">
          <w:rPr>
            <w:rFonts w:ascii="David" w:eastAsia="Calibri" w:hAnsi="David"/>
            <w:b/>
            <w:bCs/>
            <w:rtl/>
          </w:rPr>
          <w:t>תקנות בית המשפט לענייני משפחה (סדרי דין), התשפ"א-2020</w:t>
        </w:r>
      </w:hyperlink>
      <w:r w:rsidRPr="00022A83">
        <w:rPr>
          <w:rFonts w:ascii="David" w:eastAsia="Calibri" w:hAnsi="David"/>
          <w:b/>
          <w:bCs/>
          <w:rtl/>
        </w:rPr>
        <w:t>,</w:t>
      </w:r>
      <w:r>
        <w:rPr>
          <w:rFonts w:ascii="David" w:eastAsia="Calibri" w:hAnsi="David" w:hint="cs"/>
          <w:b/>
          <w:bCs/>
          <w:rtl/>
        </w:rPr>
        <w:t xml:space="preserve"> </w:t>
      </w:r>
      <w:r w:rsidRPr="00022A83">
        <w:rPr>
          <w:rFonts w:ascii="David" w:eastAsia="Calibri" w:hAnsi="David"/>
          <w:b/>
          <w:bCs/>
          <w:rtl/>
        </w:rPr>
        <w:t xml:space="preserve"> </w:t>
      </w:r>
      <w:r w:rsidRPr="00022A83">
        <w:rPr>
          <w:rFonts w:ascii="Arial" w:eastAsia="Calibri" w:hAnsi="Arial"/>
          <w:b/>
          <w:bCs/>
          <w:rtl/>
        </w:rPr>
        <w:t xml:space="preserve">שוכנעתי לדחות את הבקשה אף ללא צורך בתשובה, מהטעמים שיפורטו. </w:t>
      </w:r>
    </w:p>
    <w:p w:rsidR="0096306F" w:rsidRPr="00022A83" w:rsidRDefault="0096306F" w:rsidP="00022A83">
      <w:pPr>
        <w:spacing w:line="360" w:lineRule="auto"/>
        <w:ind w:left="84"/>
        <w:jc w:val="both"/>
        <w:rPr>
          <w:rFonts w:ascii="Arial" w:eastAsia="Calibri" w:hAnsi="Arial"/>
          <w:rtl/>
        </w:rPr>
      </w:pPr>
    </w:p>
    <w:p w:rsidR="0096306F" w:rsidRDefault="0096306F" w:rsidP="0096306F">
      <w:pPr>
        <w:pStyle w:val="affffc"/>
        <w:numPr>
          <w:ilvl w:val="0"/>
          <w:numId w:val="11"/>
        </w:numPr>
        <w:spacing w:line="360" w:lineRule="auto"/>
        <w:jc w:val="both"/>
        <w:rPr>
          <w:rFonts w:ascii="Arial" w:eastAsia="Calibri" w:hAnsi="Arial"/>
        </w:rPr>
      </w:pPr>
      <w:r>
        <w:rPr>
          <w:rFonts w:ascii="Arial" w:eastAsia="Calibri" w:hAnsi="Arial" w:hint="cs"/>
          <w:rtl/>
        </w:rPr>
        <w:t>הצדדים הינם גרושים ולהם שני קטינים כבני 15 ו-16.</w:t>
      </w:r>
    </w:p>
    <w:p w:rsidR="0096306F" w:rsidRPr="0096306F" w:rsidRDefault="0096306F" w:rsidP="0096306F">
      <w:pPr>
        <w:spacing w:line="360" w:lineRule="auto"/>
        <w:jc w:val="both"/>
        <w:rPr>
          <w:rFonts w:ascii="Arial" w:eastAsia="Calibri" w:hAnsi="Arial"/>
        </w:rPr>
      </w:pPr>
    </w:p>
    <w:p w:rsidR="0096306F" w:rsidRDefault="0096306F" w:rsidP="009629B4">
      <w:pPr>
        <w:pStyle w:val="affffc"/>
        <w:numPr>
          <w:ilvl w:val="0"/>
          <w:numId w:val="11"/>
        </w:numPr>
        <w:spacing w:line="360" w:lineRule="auto"/>
        <w:jc w:val="both"/>
        <w:rPr>
          <w:rFonts w:ascii="Arial" w:eastAsia="Calibri" w:hAnsi="Arial"/>
        </w:rPr>
      </w:pPr>
      <w:r>
        <w:rPr>
          <w:rFonts w:ascii="Arial" w:eastAsia="Calibri" w:hAnsi="Arial" w:hint="cs"/>
          <w:rtl/>
        </w:rPr>
        <w:t xml:space="preserve">בין הצדדים קיים הסכם גירושין שאושר כפסק-דין </w:t>
      </w:r>
      <w:r w:rsidR="006618F3">
        <w:rPr>
          <w:rFonts w:ascii="Arial" w:eastAsia="Calibri" w:hAnsi="Arial" w:hint="cs"/>
          <w:rtl/>
        </w:rPr>
        <w:t xml:space="preserve">אך לפני כשנתיים, </w:t>
      </w:r>
      <w:r>
        <w:rPr>
          <w:rFonts w:ascii="Arial" w:eastAsia="Calibri" w:hAnsi="Arial" w:hint="cs"/>
          <w:rtl/>
        </w:rPr>
        <w:t>ביום 25.3.21, בו הוסכם על משמורת משותפת וזמני ש</w:t>
      </w:r>
      <w:r w:rsidR="006F6162">
        <w:rPr>
          <w:rFonts w:ascii="Arial" w:eastAsia="Calibri" w:hAnsi="Arial" w:hint="cs"/>
          <w:rtl/>
        </w:rPr>
        <w:t xml:space="preserve">הות שווים, </w:t>
      </w:r>
      <w:r w:rsidR="006F6162" w:rsidRPr="006F6162">
        <w:rPr>
          <w:rFonts w:ascii="Arial" w:eastAsia="Calibri" w:hAnsi="Arial" w:hint="cs"/>
          <w:b/>
          <w:bCs/>
          <w:u w:val="single"/>
          <w:rtl/>
        </w:rPr>
        <w:t xml:space="preserve">ולמרות </w:t>
      </w:r>
      <w:r w:rsidR="009629B4">
        <w:rPr>
          <w:rFonts w:ascii="Arial" w:eastAsia="Calibri" w:hAnsi="Arial" w:hint="cs"/>
          <w:b/>
          <w:bCs/>
          <w:u w:val="single"/>
          <w:rtl/>
        </w:rPr>
        <w:t>ז</w:t>
      </w:r>
      <w:r w:rsidR="006F6162" w:rsidRPr="006F6162">
        <w:rPr>
          <w:rFonts w:ascii="Arial" w:eastAsia="Calibri" w:hAnsi="Arial" w:hint="cs"/>
          <w:b/>
          <w:bCs/>
          <w:u w:val="single"/>
          <w:rtl/>
        </w:rPr>
        <w:t>מני השהות השווים</w:t>
      </w:r>
      <w:r w:rsidR="009629B4">
        <w:rPr>
          <w:rFonts w:ascii="Arial" w:eastAsia="Calibri" w:hAnsi="Arial" w:hint="cs"/>
          <w:b/>
          <w:bCs/>
          <w:u w:val="single"/>
          <w:rtl/>
        </w:rPr>
        <w:t xml:space="preserve"> בצד גיל הילדים דאז (13-14)</w:t>
      </w:r>
      <w:r w:rsidR="005C3A94">
        <w:rPr>
          <w:rFonts w:ascii="Arial" w:eastAsia="Calibri" w:hAnsi="Arial" w:hint="cs"/>
          <w:b/>
          <w:bCs/>
          <w:rtl/>
        </w:rPr>
        <w:t xml:space="preserve">, </w:t>
      </w:r>
      <w:r w:rsidR="006F6162" w:rsidRPr="006F6162">
        <w:rPr>
          <w:rFonts w:ascii="Arial" w:eastAsia="Calibri" w:hAnsi="Arial" w:hint="cs"/>
          <w:b/>
          <w:bCs/>
          <w:rtl/>
        </w:rPr>
        <w:t xml:space="preserve">הוסכם כי המבקש ישלם למשיבה עבור מזונות </w:t>
      </w:r>
      <w:r w:rsidR="005C3A94">
        <w:rPr>
          <w:rFonts w:ascii="Arial" w:eastAsia="Calibri" w:hAnsi="Arial" w:hint="cs"/>
          <w:b/>
          <w:bCs/>
          <w:rtl/>
        </w:rPr>
        <w:t>הילדים</w:t>
      </w:r>
      <w:r w:rsidR="006F6162" w:rsidRPr="006F6162">
        <w:rPr>
          <w:rFonts w:ascii="Arial" w:eastAsia="Calibri" w:hAnsi="Arial" w:hint="cs"/>
          <w:b/>
          <w:bCs/>
          <w:rtl/>
        </w:rPr>
        <w:t xml:space="preserve"> </w:t>
      </w:r>
      <w:r w:rsidR="005C3A94">
        <w:rPr>
          <w:rFonts w:ascii="Arial" w:eastAsia="Calibri" w:hAnsi="Arial" w:hint="cs"/>
          <w:b/>
          <w:bCs/>
          <w:rtl/>
        </w:rPr>
        <w:t xml:space="preserve">בגין מחצית הזמן שהם שוהים עימה, </w:t>
      </w:r>
      <w:r w:rsidR="006F6162" w:rsidRPr="006F6162">
        <w:rPr>
          <w:rFonts w:ascii="Arial" w:eastAsia="Calibri" w:hAnsi="Arial" w:hint="cs"/>
          <w:b/>
          <w:bCs/>
          <w:rtl/>
        </w:rPr>
        <w:t xml:space="preserve">סך </w:t>
      </w:r>
      <w:r w:rsidR="006F6162">
        <w:rPr>
          <w:rFonts w:ascii="Arial" w:eastAsia="Calibri" w:hAnsi="Arial" w:hint="cs"/>
          <w:b/>
          <w:bCs/>
          <w:rtl/>
        </w:rPr>
        <w:t xml:space="preserve">חודשי </w:t>
      </w:r>
      <w:r w:rsidR="006F6162" w:rsidRPr="006F6162">
        <w:rPr>
          <w:rFonts w:ascii="Arial" w:eastAsia="Calibri" w:hAnsi="Arial" w:hint="cs"/>
          <w:b/>
          <w:bCs/>
          <w:rtl/>
        </w:rPr>
        <w:t xml:space="preserve">של </w:t>
      </w:r>
      <w:r w:rsidR="006F6162" w:rsidRPr="006F6162">
        <w:rPr>
          <w:rFonts w:ascii="Arial" w:eastAsia="Calibri" w:hAnsi="Arial" w:hint="cs"/>
          <w:b/>
          <w:bCs/>
          <w:u w:val="single"/>
          <w:rtl/>
        </w:rPr>
        <w:t>5,000 ₪</w:t>
      </w:r>
      <w:r w:rsidR="006F6162" w:rsidRPr="006F6162">
        <w:rPr>
          <w:rFonts w:ascii="Arial" w:eastAsia="Calibri" w:hAnsi="Arial" w:hint="cs"/>
          <w:rtl/>
        </w:rPr>
        <w:t>.</w:t>
      </w:r>
      <w:r w:rsidR="006F6162">
        <w:rPr>
          <w:rFonts w:ascii="Arial" w:eastAsia="Calibri" w:hAnsi="Arial" w:hint="cs"/>
          <w:rtl/>
        </w:rPr>
        <w:t xml:space="preserve"> (הוצאות הבריאות והחינוך בחלקים שווים).</w:t>
      </w:r>
    </w:p>
    <w:p w:rsidR="0025219A" w:rsidRPr="0025219A" w:rsidRDefault="0025219A" w:rsidP="0025219A">
      <w:pPr>
        <w:pStyle w:val="affffc"/>
        <w:rPr>
          <w:rFonts w:ascii="Arial" w:eastAsia="Calibri" w:hAnsi="Arial"/>
        </w:rPr>
      </w:pPr>
    </w:p>
    <w:p w:rsidR="0025219A" w:rsidRDefault="0025219A" w:rsidP="005008D3">
      <w:pPr>
        <w:pStyle w:val="affffc"/>
        <w:numPr>
          <w:ilvl w:val="0"/>
          <w:numId w:val="11"/>
        </w:numPr>
        <w:spacing w:line="360" w:lineRule="auto"/>
        <w:jc w:val="both"/>
        <w:rPr>
          <w:rFonts w:ascii="Arial" w:eastAsia="Calibri" w:hAnsi="Arial"/>
        </w:rPr>
      </w:pPr>
      <w:r>
        <w:rPr>
          <w:rFonts w:ascii="Arial" w:eastAsia="Calibri" w:hAnsi="Arial" w:hint="cs"/>
          <w:rtl/>
        </w:rPr>
        <w:t xml:space="preserve">כיום אין מחלוקת כי החל מחודש 4/21 לערך נמצאים הילדים </w:t>
      </w:r>
      <w:r w:rsidRPr="006A3E9C">
        <w:rPr>
          <w:rFonts w:ascii="Arial" w:eastAsia="Calibri" w:hAnsi="Arial" w:hint="cs"/>
          <w:b/>
          <w:bCs/>
          <w:rtl/>
        </w:rPr>
        <w:t>עיקר הזמן</w:t>
      </w:r>
      <w:r>
        <w:rPr>
          <w:rFonts w:ascii="Arial" w:eastAsia="Calibri" w:hAnsi="Arial" w:hint="cs"/>
          <w:rtl/>
        </w:rPr>
        <w:t xml:space="preserve"> אצל המבקש, ובעקבות כך הגיש המבקש את </w:t>
      </w:r>
      <w:r w:rsidR="005C3A94">
        <w:rPr>
          <w:rFonts w:ascii="Arial" w:eastAsia="Calibri" w:hAnsi="Arial" w:hint="cs"/>
          <w:rtl/>
        </w:rPr>
        <w:t xml:space="preserve">תביעתו לביטול </w:t>
      </w:r>
      <w:r>
        <w:rPr>
          <w:rFonts w:ascii="Arial" w:eastAsia="Calibri" w:hAnsi="Arial" w:hint="cs"/>
          <w:rtl/>
        </w:rPr>
        <w:t xml:space="preserve">חיוב המזונות בסך 5,000 ₪ ומנגד </w:t>
      </w:r>
      <w:r w:rsidR="005C3A94">
        <w:rPr>
          <w:rFonts w:ascii="Arial" w:eastAsia="Calibri" w:hAnsi="Arial" w:hint="cs"/>
          <w:rtl/>
        </w:rPr>
        <w:t xml:space="preserve">חיוב </w:t>
      </w:r>
      <w:r>
        <w:rPr>
          <w:rFonts w:ascii="Arial" w:eastAsia="Calibri" w:hAnsi="Arial" w:hint="cs"/>
          <w:rtl/>
        </w:rPr>
        <w:t xml:space="preserve"> המשיבה לשלם לו מזונות עבור </w:t>
      </w:r>
      <w:r w:rsidR="005008D3">
        <w:rPr>
          <w:rFonts w:ascii="Arial" w:eastAsia="Calibri" w:hAnsi="Arial" w:hint="cs"/>
          <w:rtl/>
        </w:rPr>
        <w:t>הילדים</w:t>
      </w:r>
      <w:r>
        <w:rPr>
          <w:rFonts w:ascii="Arial" w:eastAsia="Calibri" w:hAnsi="Arial" w:hint="cs"/>
          <w:rtl/>
        </w:rPr>
        <w:t xml:space="preserve">. </w:t>
      </w:r>
    </w:p>
    <w:p w:rsidR="0025219A" w:rsidRPr="0025219A" w:rsidRDefault="0025219A" w:rsidP="0025219A">
      <w:pPr>
        <w:pStyle w:val="affffc"/>
        <w:rPr>
          <w:rFonts w:ascii="Arial" w:eastAsia="Calibri" w:hAnsi="Arial"/>
          <w:rtl/>
        </w:rPr>
      </w:pPr>
    </w:p>
    <w:p w:rsidR="000602EA" w:rsidRDefault="0025219A" w:rsidP="006A3E9C">
      <w:pPr>
        <w:pStyle w:val="affffc"/>
        <w:numPr>
          <w:ilvl w:val="0"/>
          <w:numId w:val="11"/>
        </w:numPr>
        <w:spacing w:line="360" w:lineRule="auto"/>
        <w:jc w:val="both"/>
        <w:rPr>
          <w:rFonts w:ascii="Arial" w:eastAsia="Calibri" w:hAnsi="Arial"/>
        </w:rPr>
      </w:pPr>
      <w:r>
        <w:rPr>
          <w:rFonts w:ascii="Arial" w:eastAsia="Calibri" w:hAnsi="Arial" w:hint="cs"/>
          <w:rtl/>
        </w:rPr>
        <w:t>לאחר הגשת התביעה הגיש המבקש שתי בקשות, האחת לביטול חיוב המזונות</w:t>
      </w:r>
      <w:r w:rsidR="009731CD">
        <w:rPr>
          <w:rFonts w:ascii="Arial" w:eastAsia="Calibri" w:hAnsi="Arial" w:hint="cs"/>
          <w:rtl/>
        </w:rPr>
        <w:t xml:space="preserve"> המוטל עליו</w:t>
      </w:r>
      <w:r w:rsidR="000602EA">
        <w:rPr>
          <w:rFonts w:ascii="Arial" w:eastAsia="Calibri" w:hAnsi="Arial" w:hint="cs"/>
          <w:rtl/>
        </w:rPr>
        <w:t xml:space="preserve"> בסך 5,000 ₪</w:t>
      </w:r>
      <w:r>
        <w:rPr>
          <w:rFonts w:ascii="Arial" w:eastAsia="Calibri" w:hAnsi="Arial" w:hint="cs"/>
          <w:rtl/>
        </w:rPr>
        <w:t xml:space="preserve"> והשנייה </w:t>
      </w:r>
      <w:r w:rsidR="005008D3">
        <w:rPr>
          <w:rFonts w:ascii="Arial" w:eastAsia="Calibri" w:hAnsi="Arial" w:hint="cs"/>
          <w:rtl/>
        </w:rPr>
        <w:t>ל</w:t>
      </w:r>
      <w:r>
        <w:rPr>
          <w:rFonts w:ascii="Arial" w:eastAsia="Calibri" w:hAnsi="Arial" w:hint="cs"/>
          <w:rtl/>
        </w:rPr>
        <w:t xml:space="preserve">חייב את המשיבה </w:t>
      </w:r>
      <w:r w:rsidR="006A3E9C">
        <w:rPr>
          <w:rFonts w:ascii="Arial" w:eastAsia="Calibri" w:hAnsi="Arial" w:hint="cs"/>
          <w:rtl/>
        </w:rPr>
        <w:t xml:space="preserve">לשלם לו </w:t>
      </w:r>
      <w:r>
        <w:rPr>
          <w:rFonts w:ascii="Arial" w:eastAsia="Calibri" w:hAnsi="Arial" w:hint="cs"/>
          <w:rtl/>
        </w:rPr>
        <w:t>מזונות זמניים</w:t>
      </w:r>
      <w:r w:rsidR="006A3E9C">
        <w:rPr>
          <w:rFonts w:ascii="Arial" w:eastAsia="Calibri" w:hAnsi="Arial" w:hint="cs"/>
          <w:rtl/>
        </w:rPr>
        <w:t xml:space="preserve"> עבור הילדים</w:t>
      </w:r>
      <w:r w:rsidR="000602EA">
        <w:rPr>
          <w:rFonts w:ascii="Arial" w:eastAsia="Calibri" w:hAnsi="Arial" w:hint="cs"/>
          <w:rtl/>
        </w:rPr>
        <w:t>. המבקש צירף מסמכים רבים.</w:t>
      </w:r>
      <w:r>
        <w:rPr>
          <w:rFonts w:ascii="Arial" w:eastAsia="Calibri" w:hAnsi="Arial" w:hint="cs"/>
          <w:rtl/>
        </w:rPr>
        <w:t xml:space="preserve"> </w:t>
      </w:r>
      <w:r w:rsidR="009629B4">
        <w:rPr>
          <w:rFonts w:ascii="Arial" w:eastAsia="Calibri" w:hAnsi="Arial" w:hint="cs"/>
          <w:rtl/>
        </w:rPr>
        <w:t xml:space="preserve">המשיבה הגישה תגובותיה, גם היא </w:t>
      </w:r>
      <w:r w:rsidR="000602EA">
        <w:rPr>
          <w:rFonts w:ascii="Arial" w:eastAsia="Calibri" w:hAnsi="Arial" w:hint="cs"/>
          <w:rtl/>
        </w:rPr>
        <w:t xml:space="preserve">צירפה </w:t>
      </w:r>
      <w:r w:rsidR="009629B4">
        <w:rPr>
          <w:rFonts w:ascii="Arial" w:eastAsia="Calibri" w:hAnsi="Arial" w:hint="cs"/>
          <w:rtl/>
        </w:rPr>
        <w:t xml:space="preserve">מסמכים </w:t>
      </w:r>
      <w:r w:rsidR="000602EA">
        <w:rPr>
          <w:rFonts w:ascii="Arial" w:eastAsia="Calibri" w:hAnsi="Arial" w:hint="cs"/>
          <w:rtl/>
        </w:rPr>
        <w:t xml:space="preserve">רבים. </w:t>
      </w:r>
    </w:p>
    <w:p w:rsidR="000602EA" w:rsidRPr="000602EA" w:rsidRDefault="000602EA" w:rsidP="000602EA">
      <w:pPr>
        <w:pStyle w:val="affffc"/>
        <w:rPr>
          <w:rFonts w:ascii="Arial" w:eastAsia="Calibri" w:hAnsi="Arial"/>
          <w:rtl/>
        </w:rPr>
      </w:pPr>
    </w:p>
    <w:p w:rsidR="0025219A" w:rsidRDefault="0025219A" w:rsidP="006A3E9C">
      <w:pPr>
        <w:pStyle w:val="affffc"/>
        <w:numPr>
          <w:ilvl w:val="0"/>
          <w:numId w:val="11"/>
        </w:numPr>
        <w:spacing w:line="360" w:lineRule="auto"/>
        <w:jc w:val="both"/>
        <w:rPr>
          <w:rFonts w:ascii="Arial" w:eastAsia="Calibri" w:hAnsi="Arial"/>
        </w:rPr>
      </w:pPr>
      <w:r>
        <w:rPr>
          <w:rFonts w:ascii="Arial" w:eastAsia="Calibri" w:hAnsi="Arial" w:hint="cs"/>
          <w:rtl/>
        </w:rPr>
        <w:lastRenderedPageBreak/>
        <w:t>ביום 21.</w:t>
      </w:r>
      <w:r w:rsidR="00B70458">
        <w:rPr>
          <w:rFonts w:ascii="Arial" w:eastAsia="Calibri" w:hAnsi="Arial" w:hint="cs"/>
          <w:rtl/>
        </w:rPr>
        <w:t xml:space="preserve">3.23 החליט בית משפט קמא על הפסקת חיוב המבקש במזונות בסך 5,000 ₪, למעט מחצית הוצאות החינוך והבריאות שבהם ימשיכו </w:t>
      </w:r>
      <w:r w:rsidR="006A3E9C">
        <w:rPr>
          <w:rFonts w:ascii="Arial" w:eastAsia="Calibri" w:hAnsi="Arial" w:hint="cs"/>
          <w:rtl/>
        </w:rPr>
        <w:t xml:space="preserve">הצדדים </w:t>
      </w:r>
      <w:r w:rsidR="00B70458">
        <w:rPr>
          <w:rFonts w:ascii="Arial" w:eastAsia="Calibri" w:hAnsi="Arial" w:hint="cs"/>
          <w:rtl/>
        </w:rPr>
        <w:t xml:space="preserve">לשאת בחלקים שווים בהתאם להוראות הסכם הגירושין. </w:t>
      </w:r>
      <w:r w:rsidR="000602EA">
        <w:rPr>
          <w:rFonts w:ascii="Arial" w:eastAsia="Calibri" w:hAnsi="Arial" w:hint="cs"/>
          <w:rtl/>
        </w:rPr>
        <w:t>לעניין עתירת המבקש לחיוב המשיבה במזונות זמניים החליט בימ"ש קמא (6.3.23) כי לנוכח הפערים הרבים בהצגת התמונה מצד כל אחד מהצדדים, החלטתו לא תינתן על יסוד הבקשה והתגובה בלבד אלא לאחר דיון בו יישמעו טענות הצדדים.</w:t>
      </w:r>
    </w:p>
    <w:p w:rsidR="00B70458" w:rsidRPr="00B70458" w:rsidRDefault="00B70458" w:rsidP="00B70458">
      <w:pPr>
        <w:pStyle w:val="affffc"/>
        <w:rPr>
          <w:rFonts w:ascii="Arial" w:eastAsia="Calibri" w:hAnsi="Arial"/>
          <w:rtl/>
        </w:rPr>
      </w:pPr>
    </w:p>
    <w:p w:rsidR="00B70458" w:rsidRDefault="008D3E1E" w:rsidP="006A3E9C">
      <w:pPr>
        <w:pStyle w:val="affffc"/>
        <w:numPr>
          <w:ilvl w:val="0"/>
          <w:numId w:val="11"/>
        </w:numPr>
        <w:spacing w:line="360" w:lineRule="auto"/>
        <w:jc w:val="both"/>
        <w:rPr>
          <w:rFonts w:ascii="Arial" w:eastAsia="Calibri" w:hAnsi="Arial"/>
        </w:rPr>
      </w:pPr>
      <w:r>
        <w:rPr>
          <w:rFonts w:ascii="Arial" w:eastAsia="Calibri" w:hAnsi="Arial" w:hint="cs"/>
          <w:rtl/>
        </w:rPr>
        <w:t xml:space="preserve">ואכן </w:t>
      </w:r>
      <w:r w:rsidR="00B70458">
        <w:rPr>
          <w:rFonts w:ascii="Arial" w:eastAsia="Calibri" w:hAnsi="Arial" w:hint="cs"/>
          <w:rtl/>
        </w:rPr>
        <w:t xml:space="preserve">ביום 24.5.23 התקיים </w:t>
      </w:r>
      <w:r>
        <w:rPr>
          <w:rFonts w:ascii="Arial" w:eastAsia="Calibri" w:hAnsi="Arial" w:hint="cs"/>
          <w:rtl/>
        </w:rPr>
        <w:t>ה</w:t>
      </w:r>
      <w:r w:rsidR="00B70458">
        <w:rPr>
          <w:rFonts w:ascii="Arial" w:eastAsia="Calibri" w:hAnsi="Arial" w:hint="cs"/>
          <w:rtl/>
        </w:rPr>
        <w:t xml:space="preserve">דיון, </w:t>
      </w:r>
      <w:r w:rsidR="00B70458" w:rsidRPr="009731CD">
        <w:rPr>
          <w:rFonts w:ascii="Arial" w:eastAsia="Calibri" w:hAnsi="Arial" w:hint="cs"/>
          <w:b/>
          <w:bCs/>
          <w:rtl/>
        </w:rPr>
        <w:t>במהלכו שמע בית משפט את טעוני הצדדים בהרחבה</w:t>
      </w:r>
      <w:r w:rsidR="00B70458">
        <w:rPr>
          <w:rFonts w:ascii="Arial" w:eastAsia="Calibri" w:hAnsi="Arial" w:hint="cs"/>
          <w:rtl/>
        </w:rPr>
        <w:t xml:space="preserve"> כפי שבית משפט קמא מציין בסעיף 10 להחלטתו מושא הערעור. </w:t>
      </w:r>
    </w:p>
    <w:p w:rsidR="00B70458" w:rsidRPr="00B70458" w:rsidRDefault="00B70458" w:rsidP="00B70458">
      <w:pPr>
        <w:pStyle w:val="affffc"/>
        <w:rPr>
          <w:rFonts w:ascii="Arial" w:eastAsia="Calibri" w:hAnsi="Arial"/>
          <w:rtl/>
        </w:rPr>
      </w:pPr>
    </w:p>
    <w:p w:rsidR="00E16E36" w:rsidRDefault="008D3E1E" w:rsidP="006A3E9C">
      <w:pPr>
        <w:pStyle w:val="affffc"/>
        <w:numPr>
          <w:ilvl w:val="0"/>
          <w:numId w:val="11"/>
        </w:numPr>
        <w:spacing w:line="360" w:lineRule="auto"/>
        <w:jc w:val="both"/>
        <w:rPr>
          <w:rFonts w:ascii="Arial" w:eastAsia="Calibri" w:hAnsi="Arial"/>
        </w:rPr>
      </w:pPr>
      <w:r>
        <w:rPr>
          <w:rFonts w:ascii="Arial" w:eastAsia="Calibri" w:hAnsi="Arial" w:hint="cs"/>
          <w:rtl/>
        </w:rPr>
        <w:t xml:space="preserve">מייד </w:t>
      </w:r>
      <w:r w:rsidR="00B70458">
        <w:rPr>
          <w:rFonts w:ascii="Arial" w:eastAsia="Calibri" w:hAnsi="Arial" w:hint="cs"/>
          <w:rtl/>
        </w:rPr>
        <w:t xml:space="preserve">לאחר הדיון, </w:t>
      </w:r>
      <w:r w:rsidR="00B70458" w:rsidRPr="009731CD">
        <w:rPr>
          <w:rFonts w:ascii="Arial" w:eastAsia="Calibri" w:hAnsi="Arial" w:hint="cs"/>
          <w:b/>
          <w:bCs/>
          <w:rtl/>
        </w:rPr>
        <w:t>כשהתרשמות בית משפט קמא מהצדדים ומטענותיהם עדיין טרייה בזיכרונו</w:t>
      </w:r>
      <w:r w:rsidR="00B70458">
        <w:rPr>
          <w:rFonts w:ascii="Arial" w:eastAsia="Calibri" w:hAnsi="Arial" w:hint="cs"/>
          <w:rtl/>
        </w:rPr>
        <w:t xml:space="preserve">, הוציא בית משפט קמא את החלטתו מושא הערעור, לאחר שפירט </w:t>
      </w:r>
      <w:r w:rsidR="00B70458" w:rsidRPr="009731CD">
        <w:rPr>
          <w:rFonts w:ascii="Arial" w:eastAsia="Calibri" w:hAnsi="Arial" w:hint="cs"/>
          <w:u w:val="single"/>
          <w:rtl/>
        </w:rPr>
        <w:t>בהרחבה</w:t>
      </w:r>
      <w:r w:rsidR="00B70458">
        <w:rPr>
          <w:rFonts w:ascii="Arial" w:eastAsia="Calibri" w:hAnsi="Arial" w:hint="cs"/>
          <w:rtl/>
        </w:rPr>
        <w:t xml:space="preserve"> את הנתונים שעמדו בפניו, </w:t>
      </w:r>
      <w:r w:rsidR="009731CD">
        <w:rPr>
          <w:rFonts w:ascii="Arial" w:eastAsia="Calibri" w:hAnsi="Arial" w:hint="cs"/>
          <w:rtl/>
        </w:rPr>
        <w:t xml:space="preserve">כמו גם את </w:t>
      </w:r>
      <w:r w:rsidR="009731CD" w:rsidRPr="009731CD">
        <w:rPr>
          <w:rFonts w:ascii="Arial" w:eastAsia="Calibri" w:hAnsi="Arial" w:hint="cs"/>
          <w:u w:val="single"/>
          <w:rtl/>
        </w:rPr>
        <w:t>מהלך הדיון</w:t>
      </w:r>
      <w:r w:rsidR="009731CD">
        <w:rPr>
          <w:rFonts w:ascii="Arial" w:eastAsia="Calibri" w:hAnsi="Arial" w:hint="cs"/>
          <w:rtl/>
        </w:rPr>
        <w:t xml:space="preserve">, </w:t>
      </w:r>
      <w:r w:rsidR="00B70458" w:rsidRPr="009731CD">
        <w:rPr>
          <w:rFonts w:ascii="Arial" w:eastAsia="Calibri" w:hAnsi="Arial" w:hint="cs"/>
          <w:u w:val="single"/>
          <w:rtl/>
        </w:rPr>
        <w:t>התרשמותו</w:t>
      </w:r>
      <w:r w:rsidR="00B70458">
        <w:rPr>
          <w:rFonts w:ascii="Arial" w:eastAsia="Calibri" w:hAnsi="Arial" w:hint="cs"/>
          <w:rtl/>
        </w:rPr>
        <w:t xml:space="preserve"> מהצדדים מטענותיהם, </w:t>
      </w:r>
      <w:r w:rsidR="009731CD">
        <w:rPr>
          <w:rFonts w:ascii="Arial" w:eastAsia="Calibri" w:hAnsi="Arial" w:hint="cs"/>
          <w:rtl/>
        </w:rPr>
        <w:t>ו</w:t>
      </w:r>
      <w:r w:rsidR="00B70458">
        <w:rPr>
          <w:rFonts w:ascii="Arial" w:eastAsia="Calibri" w:hAnsi="Arial" w:hint="cs"/>
          <w:rtl/>
        </w:rPr>
        <w:t>הגיע למסקנה כי בשלב זה הוא לא מוצא לנכון לחייב את ה</w:t>
      </w:r>
      <w:r w:rsidR="00E16E36">
        <w:rPr>
          <w:rFonts w:ascii="Arial" w:eastAsia="Calibri" w:hAnsi="Arial" w:hint="cs"/>
          <w:rtl/>
        </w:rPr>
        <w:t>משיבה לשלם למבקש מזונות זמניים.</w:t>
      </w:r>
      <w:r w:rsidR="005008D3">
        <w:rPr>
          <w:rFonts w:ascii="Arial" w:eastAsia="Calibri" w:hAnsi="Arial" w:hint="cs"/>
          <w:rtl/>
        </w:rPr>
        <w:t xml:space="preserve"> (עניין הוצאות החינוך והבריאות נותר על כנו תוך שביהמ"ש נתן הוראות טכניות לגבי אופן הנשיאה בהוצאות אלו בחלקים שווים).</w:t>
      </w:r>
    </w:p>
    <w:p w:rsidR="00E16E36" w:rsidRPr="00E16E36" w:rsidRDefault="00E16E36" w:rsidP="00E16E36">
      <w:pPr>
        <w:pStyle w:val="affffc"/>
        <w:rPr>
          <w:rFonts w:ascii="Arial" w:hAnsi="Arial"/>
          <w:noProof/>
          <w:rtl/>
        </w:rPr>
      </w:pPr>
    </w:p>
    <w:p w:rsidR="008D3E1E" w:rsidRPr="008D3E1E" w:rsidRDefault="008D3E1E" w:rsidP="00E16E36">
      <w:pPr>
        <w:pStyle w:val="affffc"/>
        <w:numPr>
          <w:ilvl w:val="0"/>
          <w:numId w:val="11"/>
        </w:numPr>
        <w:spacing w:line="360" w:lineRule="auto"/>
        <w:jc w:val="both"/>
        <w:rPr>
          <w:rFonts w:ascii="Arial" w:eastAsia="Calibri" w:hAnsi="Arial"/>
        </w:rPr>
      </w:pPr>
      <w:r>
        <w:rPr>
          <w:rFonts w:ascii="Arial" w:hAnsi="Arial" w:hint="cs"/>
          <w:noProof/>
          <w:rtl/>
        </w:rPr>
        <w:t>המערער איננו מסכים לקבל את החלטתו של בימ"ש קמא ובגין כך הגיש את בקשתו זו למתן רשות ערעור.</w:t>
      </w:r>
    </w:p>
    <w:p w:rsidR="008D3E1E" w:rsidRPr="008D3E1E" w:rsidRDefault="008D3E1E" w:rsidP="008D3E1E">
      <w:pPr>
        <w:pStyle w:val="affffc"/>
        <w:rPr>
          <w:rFonts w:ascii="Arial" w:hAnsi="Arial"/>
          <w:noProof/>
          <w:rtl/>
        </w:rPr>
      </w:pPr>
    </w:p>
    <w:p w:rsidR="00E16E36" w:rsidRPr="00E16E36" w:rsidRDefault="00E16E36" w:rsidP="00E16E36">
      <w:pPr>
        <w:pStyle w:val="affffc"/>
        <w:numPr>
          <w:ilvl w:val="0"/>
          <w:numId w:val="11"/>
        </w:numPr>
        <w:spacing w:line="360" w:lineRule="auto"/>
        <w:jc w:val="both"/>
        <w:rPr>
          <w:rFonts w:ascii="Arial" w:eastAsia="Calibri" w:hAnsi="Arial"/>
        </w:rPr>
      </w:pPr>
      <w:r w:rsidRPr="00E16E36">
        <w:rPr>
          <w:rFonts w:ascii="Arial" w:hAnsi="Arial"/>
          <w:noProof/>
          <w:rtl/>
        </w:rPr>
        <w:t>עסקינן בהחלטה זמנית של בית משפט קמא, העוסקת במזונות זמניים.</w:t>
      </w:r>
    </w:p>
    <w:p w:rsidR="00E16E36" w:rsidRDefault="00E16E36" w:rsidP="008D3E1E">
      <w:pPr>
        <w:pStyle w:val="affffc"/>
        <w:spacing w:line="360" w:lineRule="auto"/>
        <w:jc w:val="both"/>
        <w:rPr>
          <w:rFonts w:ascii="Arial" w:hAnsi="Arial"/>
          <w:noProof/>
        </w:rPr>
      </w:pPr>
      <w:r>
        <w:rPr>
          <w:rFonts w:ascii="Arial" w:hAnsi="Arial"/>
          <w:noProof/>
          <w:rtl/>
        </w:rPr>
        <w:t>הלכה פסוקה, עיקבית ורבת שנים לעניין מידת ההתערבות המצומצמת של ערכאת הערעור בהחלטת מזונות זמניים, על פיה</w:t>
      </w:r>
      <w:r w:rsidR="008D3E1E">
        <w:rPr>
          <w:rFonts w:ascii="Arial" w:hAnsi="Arial" w:hint="cs"/>
          <w:noProof/>
          <w:rtl/>
        </w:rPr>
        <w:t>,</w:t>
      </w:r>
      <w:r>
        <w:rPr>
          <w:rFonts w:ascii="Arial" w:hAnsi="Arial"/>
          <w:noProof/>
          <w:rtl/>
        </w:rPr>
        <w:t xml:space="preserve"> רוחב שיקול הדעת המוענק לבית המשפט לענייני משפחה בבואו לקבוע מזונות זמניים, עומד ביחס הפוך לצמצום שיקול הדעת של ערכאת הערעור.</w:t>
      </w:r>
    </w:p>
    <w:p w:rsidR="00E16E36" w:rsidRDefault="00E16E36" w:rsidP="00E16E36">
      <w:pPr>
        <w:pStyle w:val="affffc"/>
        <w:spacing w:line="360" w:lineRule="auto"/>
        <w:jc w:val="both"/>
        <w:rPr>
          <w:rFonts w:ascii="Arial" w:hAnsi="Arial"/>
          <w:noProof/>
        </w:rPr>
      </w:pPr>
      <w:r>
        <w:rPr>
          <w:rFonts w:ascii="Arial" w:hAnsi="Arial"/>
          <w:noProof/>
          <w:rtl/>
        </w:rPr>
        <w:t xml:space="preserve">ההכרעה של בית המשפט לענייני משפחה על אודות מזונות זמניים, חייבת להיות </w:t>
      </w:r>
      <w:r w:rsidRPr="005008D3">
        <w:rPr>
          <w:rFonts w:ascii="Arial" w:hAnsi="Arial"/>
          <w:noProof/>
          <w:u w:val="single"/>
          <w:rtl/>
        </w:rPr>
        <w:t>מהירה</w:t>
      </w:r>
      <w:r>
        <w:rPr>
          <w:rFonts w:ascii="Arial" w:hAnsi="Arial"/>
          <w:noProof/>
          <w:rtl/>
        </w:rPr>
        <w:t xml:space="preserve">, </w:t>
      </w:r>
      <w:r w:rsidRPr="005008D3">
        <w:rPr>
          <w:rFonts w:ascii="Arial" w:hAnsi="Arial"/>
          <w:noProof/>
          <w:u w:val="single"/>
          <w:rtl/>
        </w:rPr>
        <w:t>עניינית</w:t>
      </w:r>
      <w:r>
        <w:rPr>
          <w:rFonts w:ascii="Arial" w:hAnsi="Arial"/>
          <w:noProof/>
          <w:rtl/>
        </w:rPr>
        <w:t xml:space="preserve">, ומטבעה נשענת על תמונה </w:t>
      </w:r>
      <w:r w:rsidRPr="005008D3">
        <w:rPr>
          <w:rFonts w:ascii="Arial" w:hAnsi="Arial"/>
          <w:noProof/>
          <w:u w:val="single"/>
          <w:rtl/>
        </w:rPr>
        <w:t>חלקית</w:t>
      </w:r>
      <w:r>
        <w:rPr>
          <w:rFonts w:ascii="Arial" w:hAnsi="Arial"/>
          <w:noProof/>
          <w:rtl/>
        </w:rPr>
        <w:t xml:space="preserve"> וניזונה מממצאים עובדתיים </w:t>
      </w:r>
      <w:r w:rsidRPr="005008D3">
        <w:rPr>
          <w:rFonts w:ascii="Arial" w:hAnsi="Arial"/>
          <w:noProof/>
          <w:u w:val="single"/>
          <w:rtl/>
        </w:rPr>
        <w:t>חלקיים</w:t>
      </w:r>
      <w:r>
        <w:rPr>
          <w:rFonts w:ascii="Arial" w:hAnsi="Arial"/>
          <w:noProof/>
          <w:rtl/>
        </w:rPr>
        <w:t xml:space="preserve">. </w:t>
      </w:r>
      <w:r w:rsidRPr="005008D3">
        <w:rPr>
          <w:rFonts w:ascii="Arial" w:hAnsi="Arial"/>
          <w:b/>
          <w:bCs/>
          <w:noProof/>
          <w:rtl/>
        </w:rPr>
        <w:t>הגבלה זו תורמת לריסון שעל ערכאת הערעור לנקוט בבואה לבקר החלטת הערכאה המבררת.</w:t>
      </w:r>
    </w:p>
    <w:p w:rsidR="00E16E36" w:rsidRDefault="00E16E36" w:rsidP="006A3E9C">
      <w:pPr>
        <w:pStyle w:val="affffc"/>
        <w:spacing w:line="360" w:lineRule="auto"/>
        <w:jc w:val="both"/>
        <w:rPr>
          <w:rFonts w:ascii="Arial" w:hAnsi="Arial"/>
          <w:noProof/>
          <w:rtl/>
        </w:rPr>
      </w:pPr>
      <w:r>
        <w:rPr>
          <w:rFonts w:ascii="Arial" w:hAnsi="Arial"/>
          <w:noProof/>
          <w:rtl/>
        </w:rPr>
        <w:t xml:space="preserve">כך או כך, החלטת מזונות זמניים לעולם איננה סופית ואיננה חורצת את גורל התביעה וככל שיתברר לאחר שמיעת ראיות </w:t>
      </w:r>
      <w:r w:rsidR="006A3E9C">
        <w:rPr>
          <w:rFonts w:ascii="Arial" w:hAnsi="Arial" w:hint="cs"/>
          <w:noProof/>
          <w:rtl/>
        </w:rPr>
        <w:t>כי יש לחייב המשיבה בתשלום מזונות למבקש עבור הילדים,</w:t>
      </w:r>
      <w:r>
        <w:rPr>
          <w:rFonts w:ascii="Arial" w:hAnsi="Arial"/>
          <w:noProof/>
          <w:rtl/>
        </w:rPr>
        <w:t xml:space="preserve"> ניתן לשנות זאת לעבר ולעתיד.</w:t>
      </w:r>
    </w:p>
    <w:p w:rsidR="00E16E36" w:rsidRDefault="00E16E36" w:rsidP="008D3E1E">
      <w:pPr>
        <w:spacing w:line="360" w:lineRule="auto"/>
        <w:ind w:left="720"/>
        <w:jc w:val="both"/>
        <w:rPr>
          <w:rFonts w:ascii="Arial" w:hAnsi="Arial"/>
          <w:noProof/>
          <w:rtl/>
        </w:rPr>
      </w:pPr>
      <w:r>
        <w:rPr>
          <w:rFonts w:ascii="Arial" w:hAnsi="Arial"/>
          <w:noProof/>
          <w:rtl/>
        </w:rPr>
        <w:t>אמנם נכון הוא שפסיקתה של הערכאה הדיונית בנושא מזונות זמניים אינה חסינה מפני התערבות ערעורית, ברם שומה על ערכאת הערעור להימנע מהתערבות בקביעתם של בתי המשפט לענייני משפחה בדבר המזונות הזמניים ו"</w:t>
      </w:r>
      <w:r>
        <w:rPr>
          <w:rFonts w:ascii="David" w:hAnsi="David"/>
          <w:b/>
          <w:bCs/>
          <w:spacing w:val="10"/>
          <w:rtl/>
        </w:rPr>
        <w:t>לדבוק בכלל שהתגבש בהלכה הפסוקה לפיו התערבות בפסיקת מזונות זמניים על ידי הערכאה הדיונית תתאפשר במקרים חריגים ויוצאי דופן בלבד. קרי אי התערבות היא הכלל ואילו התערבות היא החריג לכלל שיש להפעילו במשורה ובצמצום".</w:t>
      </w:r>
      <w:r>
        <w:rPr>
          <w:rFonts w:ascii="Arial" w:hAnsi="Arial"/>
          <w:noProof/>
          <w:rtl/>
        </w:rPr>
        <w:t xml:space="preserve"> (</w:t>
      </w:r>
      <w:r>
        <w:rPr>
          <w:rFonts w:ascii="Arial" w:hAnsi="Arial"/>
          <w:b/>
          <w:bCs/>
          <w:noProof/>
          <w:u w:val="single"/>
          <w:rtl/>
        </w:rPr>
        <w:t>בע"מ 1326/12</w:t>
      </w:r>
      <w:r>
        <w:rPr>
          <w:rFonts w:ascii="Arial" w:hAnsi="Arial"/>
          <w:noProof/>
          <w:rtl/>
        </w:rPr>
        <w:t xml:space="preserve"> </w:t>
      </w:r>
      <w:r>
        <w:rPr>
          <w:rFonts w:ascii="Arial" w:hAnsi="Arial"/>
          <w:b/>
          <w:bCs/>
          <w:noProof/>
          <w:rtl/>
        </w:rPr>
        <w:t>פלוני נ' פלונית</w:t>
      </w:r>
      <w:r>
        <w:rPr>
          <w:rFonts w:ascii="Arial" w:hAnsi="Arial"/>
          <w:noProof/>
          <w:rtl/>
        </w:rPr>
        <w:t xml:space="preserve"> (28.3.12) סע' 5-6).</w:t>
      </w:r>
    </w:p>
    <w:p w:rsidR="00E16E36" w:rsidRDefault="00E16E36" w:rsidP="00E16E36">
      <w:pPr>
        <w:spacing w:line="360" w:lineRule="auto"/>
        <w:ind w:left="720" w:hanging="720"/>
        <w:rPr>
          <w:rFonts w:ascii="Arial" w:hAnsi="Arial"/>
          <w:noProof/>
        </w:rPr>
      </w:pPr>
      <w:r>
        <w:rPr>
          <w:rFonts w:ascii="Arial" w:hAnsi="Arial"/>
          <w:noProof/>
          <w:rtl/>
        </w:rPr>
        <w:lastRenderedPageBreak/>
        <w:tab/>
      </w:r>
      <w:r>
        <w:rPr>
          <w:rFonts w:ascii="Arial" w:hAnsi="Arial"/>
          <w:noProof/>
          <w:u w:val="single"/>
          <w:rtl/>
        </w:rPr>
        <w:t>וראה עוד</w:t>
      </w:r>
      <w:r>
        <w:rPr>
          <w:rFonts w:ascii="Arial" w:hAnsi="Arial"/>
          <w:noProof/>
          <w:rtl/>
        </w:rPr>
        <w:t xml:space="preserve">: </w:t>
      </w:r>
    </w:p>
    <w:p w:rsidR="00E16E36" w:rsidRDefault="00E16E36" w:rsidP="00E16E36">
      <w:pPr>
        <w:spacing w:line="360" w:lineRule="auto"/>
        <w:ind w:left="720"/>
        <w:rPr>
          <w:rFonts w:ascii="Arial" w:hAnsi="Arial"/>
          <w:noProof/>
          <w:rtl/>
        </w:rPr>
      </w:pPr>
      <w:r>
        <w:rPr>
          <w:rFonts w:ascii="Arial" w:hAnsi="Arial"/>
          <w:b/>
          <w:bCs/>
          <w:noProof/>
          <w:u w:val="single"/>
          <w:rtl/>
        </w:rPr>
        <w:t>בע"מ 1078/11</w:t>
      </w:r>
      <w:r>
        <w:rPr>
          <w:rFonts w:ascii="Arial" w:hAnsi="Arial"/>
          <w:noProof/>
          <w:rtl/>
        </w:rPr>
        <w:t xml:space="preserve"> </w:t>
      </w:r>
      <w:r>
        <w:rPr>
          <w:rFonts w:ascii="Arial" w:hAnsi="Arial"/>
          <w:b/>
          <w:bCs/>
          <w:noProof/>
          <w:rtl/>
        </w:rPr>
        <w:t>פלוני נ' פלוני</w:t>
      </w:r>
      <w:r>
        <w:rPr>
          <w:rFonts w:ascii="Arial" w:hAnsi="Arial"/>
          <w:noProof/>
          <w:rtl/>
        </w:rPr>
        <w:t xml:space="preserve"> (27.4.11).</w:t>
      </w:r>
    </w:p>
    <w:p w:rsidR="00E16E36" w:rsidRDefault="00E16E36" w:rsidP="00E16E36">
      <w:pPr>
        <w:spacing w:line="360" w:lineRule="auto"/>
        <w:ind w:firstLine="720"/>
        <w:jc w:val="both"/>
        <w:rPr>
          <w:rFonts w:ascii="David" w:hAnsi="David"/>
          <w:rtl/>
        </w:rPr>
      </w:pPr>
      <w:r>
        <w:rPr>
          <w:rFonts w:ascii="David" w:hAnsi="David"/>
          <w:b/>
          <w:bCs/>
          <w:noProof/>
          <w:u w:val="single"/>
          <w:rtl/>
        </w:rPr>
        <w:t>רמ"ש 34826-10-18</w:t>
      </w:r>
      <w:r>
        <w:rPr>
          <w:rFonts w:ascii="David" w:hAnsi="David"/>
          <w:noProof/>
          <w:rtl/>
        </w:rPr>
        <w:t xml:space="preserve"> </w:t>
      </w:r>
      <w:r>
        <w:rPr>
          <w:rFonts w:ascii="David" w:hAnsi="David"/>
          <w:b/>
          <w:bCs/>
          <w:noProof/>
          <w:rtl/>
        </w:rPr>
        <w:t>פלוני נ' אלמונית</w:t>
      </w:r>
      <w:r>
        <w:rPr>
          <w:rFonts w:ascii="David" w:hAnsi="David"/>
          <w:rtl/>
        </w:rPr>
        <w:t xml:space="preserve"> (17.10.18).</w:t>
      </w:r>
    </w:p>
    <w:p w:rsidR="00E16E36" w:rsidRDefault="00E16E36" w:rsidP="00E16E36">
      <w:pPr>
        <w:spacing w:line="360" w:lineRule="auto"/>
        <w:ind w:firstLine="720"/>
        <w:jc w:val="both"/>
        <w:rPr>
          <w:rFonts w:ascii="David" w:hAnsi="David"/>
          <w:rtl/>
        </w:rPr>
      </w:pPr>
    </w:p>
    <w:p w:rsidR="00E16E36" w:rsidRPr="00334BAE" w:rsidRDefault="00E16E36" w:rsidP="00334BAE">
      <w:pPr>
        <w:pStyle w:val="affffc"/>
        <w:numPr>
          <w:ilvl w:val="0"/>
          <w:numId w:val="11"/>
        </w:numPr>
        <w:spacing w:line="360" w:lineRule="auto"/>
        <w:ind w:hanging="720"/>
        <w:jc w:val="both"/>
        <w:rPr>
          <w:rFonts w:ascii="Arial" w:hAnsi="Arial"/>
          <w:noProof/>
          <w:rtl/>
        </w:rPr>
      </w:pPr>
      <w:r w:rsidRPr="00334BAE">
        <w:rPr>
          <w:rFonts w:ascii="Arial" w:hAnsi="Arial"/>
          <w:noProof/>
          <w:rtl/>
        </w:rPr>
        <w:t xml:space="preserve">לאחר </w:t>
      </w:r>
      <w:r w:rsidR="005008D3" w:rsidRPr="00334BAE">
        <w:rPr>
          <w:rFonts w:ascii="Arial" w:hAnsi="Arial" w:hint="cs"/>
          <w:noProof/>
          <w:rtl/>
        </w:rPr>
        <w:t xml:space="preserve">עיון בתיק קמא, ולאחר </w:t>
      </w:r>
      <w:r w:rsidRPr="00334BAE">
        <w:rPr>
          <w:rFonts w:ascii="Arial" w:hAnsi="Arial"/>
          <w:noProof/>
          <w:rtl/>
        </w:rPr>
        <w:t xml:space="preserve">שבחנתי </w:t>
      </w:r>
      <w:r w:rsidR="005008D3" w:rsidRPr="00334BAE">
        <w:rPr>
          <w:rFonts w:ascii="Arial" w:hAnsi="Arial" w:hint="cs"/>
          <w:noProof/>
          <w:rtl/>
        </w:rPr>
        <w:t xml:space="preserve">את החלטתו </w:t>
      </w:r>
      <w:r w:rsidR="005008D3" w:rsidRPr="00334BAE">
        <w:rPr>
          <w:rFonts w:ascii="Arial" w:hAnsi="Arial" w:hint="cs"/>
          <w:noProof/>
          <w:u w:val="single"/>
          <w:rtl/>
        </w:rPr>
        <w:t>המפורטת</w:t>
      </w:r>
      <w:r w:rsidR="005008D3" w:rsidRPr="00334BAE">
        <w:rPr>
          <w:rFonts w:ascii="Arial" w:hAnsi="Arial" w:hint="cs"/>
          <w:noProof/>
          <w:rtl/>
        </w:rPr>
        <w:t xml:space="preserve"> </w:t>
      </w:r>
      <w:r w:rsidR="005008D3" w:rsidRPr="00334BAE">
        <w:rPr>
          <w:rFonts w:ascii="Arial" w:hAnsi="Arial" w:hint="cs"/>
          <w:noProof/>
          <w:u w:val="single"/>
          <w:rtl/>
        </w:rPr>
        <w:t>והמנומקת</w:t>
      </w:r>
      <w:r w:rsidR="005008D3" w:rsidRPr="00334BAE">
        <w:rPr>
          <w:rFonts w:ascii="Arial" w:hAnsi="Arial" w:hint="cs"/>
          <w:noProof/>
          <w:rtl/>
        </w:rPr>
        <w:t xml:space="preserve"> של בימ"ש קמא, </w:t>
      </w:r>
      <w:r w:rsidR="007926C2" w:rsidRPr="00334BAE">
        <w:rPr>
          <w:rFonts w:ascii="Arial" w:hAnsi="Arial" w:hint="cs"/>
          <w:b/>
          <w:bCs/>
          <w:noProof/>
          <w:u w:val="single"/>
          <w:rtl/>
        </w:rPr>
        <w:t xml:space="preserve">כל זאת </w:t>
      </w:r>
      <w:r w:rsidR="005008D3" w:rsidRPr="00334BAE">
        <w:rPr>
          <w:rFonts w:ascii="Arial" w:hAnsi="Arial" w:hint="cs"/>
          <w:b/>
          <w:bCs/>
          <w:noProof/>
          <w:u w:val="single"/>
          <w:rtl/>
        </w:rPr>
        <w:t>בשים לב לנ</w:t>
      </w:r>
      <w:r w:rsidRPr="00334BAE">
        <w:rPr>
          <w:rFonts w:ascii="Arial" w:hAnsi="Arial"/>
          <w:b/>
          <w:bCs/>
          <w:noProof/>
          <w:u w:val="single"/>
          <w:rtl/>
        </w:rPr>
        <w:t>סיבות המקרה הנדון</w:t>
      </w:r>
      <w:r w:rsidR="005008D3" w:rsidRPr="00334BAE">
        <w:rPr>
          <w:rFonts w:ascii="Arial" w:hAnsi="Arial" w:hint="cs"/>
          <w:rtl/>
        </w:rPr>
        <w:t xml:space="preserve"> כפי שפורטו ע"י ביהמ"ש </w:t>
      </w:r>
      <w:r w:rsidR="007926C2" w:rsidRPr="00334BAE">
        <w:rPr>
          <w:rFonts w:ascii="Arial" w:hAnsi="Arial" w:hint="cs"/>
          <w:rtl/>
        </w:rPr>
        <w:t xml:space="preserve">בהרחבה </w:t>
      </w:r>
      <w:r w:rsidR="005008D3" w:rsidRPr="00334BAE">
        <w:rPr>
          <w:rFonts w:ascii="Arial" w:hAnsi="Arial" w:hint="cs"/>
          <w:rtl/>
        </w:rPr>
        <w:t>בהחלטתו</w:t>
      </w:r>
      <w:r w:rsidR="007926C2" w:rsidRPr="00334BAE">
        <w:rPr>
          <w:rFonts w:ascii="Arial" w:hAnsi="Arial" w:hint="cs"/>
          <w:rtl/>
        </w:rPr>
        <w:t>, ל</w:t>
      </w:r>
      <w:r w:rsidRPr="00334BAE">
        <w:rPr>
          <w:rFonts w:ascii="Arial" w:hAnsi="Arial"/>
          <w:rtl/>
        </w:rPr>
        <w:t>א מצאתי כי המקרה דנן נמנה עם אותם מקרים חריגים המצדיקים את התערבות ערכאת הערעור</w:t>
      </w:r>
      <w:r w:rsidR="008D3E1E" w:rsidRPr="00334BAE">
        <w:rPr>
          <w:rFonts w:ascii="Arial" w:hAnsi="Arial" w:hint="cs"/>
          <w:rtl/>
        </w:rPr>
        <w:t>,</w:t>
      </w:r>
      <w:r w:rsidR="009731CD" w:rsidRPr="00334BAE">
        <w:rPr>
          <w:rFonts w:ascii="Arial" w:hAnsi="Arial" w:hint="cs"/>
          <w:rtl/>
        </w:rPr>
        <w:t xml:space="preserve"> ו</w:t>
      </w:r>
      <w:r w:rsidR="008D3E1E" w:rsidRPr="00334BAE">
        <w:rPr>
          <w:rFonts w:ascii="Arial" w:hAnsi="Arial" w:hint="cs"/>
          <w:rtl/>
        </w:rPr>
        <w:t>אף</w:t>
      </w:r>
      <w:r w:rsidR="007926C2" w:rsidRPr="00334BAE">
        <w:rPr>
          <w:rFonts w:ascii="Arial" w:hAnsi="Arial" w:hint="cs"/>
          <w:noProof/>
          <w:rtl/>
        </w:rPr>
        <w:t xml:space="preserve"> </w:t>
      </w:r>
      <w:r w:rsidRPr="00334BAE">
        <w:rPr>
          <w:rFonts w:ascii="Arial" w:hAnsi="Arial"/>
          <w:noProof/>
          <w:rtl/>
        </w:rPr>
        <w:t xml:space="preserve">לא מצאתי כי </w:t>
      </w:r>
      <w:r w:rsidR="007926C2" w:rsidRPr="00334BAE">
        <w:rPr>
          <w:rFonts w:ascii="Arial" w:hAnsi="Arial" w:hint="cs"/>
          <w:noProof/>
          <w:rtl/>
        </w:rPr>
        <w:t xml:space="preserve">נפלה שגגה </w:t>
      </w:r>
      <w:r w:rsidRPr="00334BAE">
        <w:rPr>
          <w:rFonts w:ascii="Arial" w:hAnsi="Arial"/>
          <w:noProof/>
          <w:rtl/>
        </w:rPr>
        <w:t>בהחלטת בית משפט המחייבת את התערבות ערכאת הערעור.</w:t>
      </w:r>
      <w:r w:rsidRPr="00334BAE">
        <w:rPr>
          <w:rFonts w:ascii="David" w:hAnsi="David"/>
          <w:rtl/>
        </w:rPr>
        <w:t xml:space="preserve"> ניכר </w:t>
      </w:r>
      <w:r w:rsidR="00334BAE">
        <w:rPr>
          <w:rFonts w:ascii="David" w:hAnsi="David" w:hint="cs"/>
          <w:rtl/>
        </w:rPr>
        <w:t>מ</w:t>
      </w:r>
      <w:r w:rsidR="007926C2" w:rsidRPr="00334BAE">
        <w:rPr>
          <w:rFonts w:ascii="David" w:hAnsi="David" w:hint="cs"/>
          <w:rtl/>
        </w:rPr>
        <w:t xml:space="preserve">החלטת בימ"ש קמא, </w:t>
      </w:r>
      <w:r w:rsidRPr="00334BAE">
        <w:rPr>
          <w:rFonts w:ascii="David" w:hAnsi="David"/>
          <w:rtl/>
        </w:rPr>
        <w:t>כי בי</w:t>
      </w:r>
      <w:r w:rsidR="007926C2" w:rsidRPr="00334BAE">
        <w:rPr>
          <w:rFonts w:ascii="David" w:hAnsi="David" w:hint="cs"/>
          <w:rtl/>
        </w:rPr>
        <w:t>המ"ש</w:t>
      </w:r>
      <w:r w:rsidRPr="00334BAE">
        <w:rPr>
          <w:rFonts w:ascii="David" w:hAnsi="David"/>
          <w:rtl/>
        </w:rPr>
        <w:t xml:space="preserve"> שקל </w:t>
      </w:r>
      <w:r w:rsidRPr="00334BAE">
        <w:rPr>
          <w:rFonts w:ascii="David" w:hAnsi="David"/>
          <w:b/>
          <w:bCs/>
          <w:u w:val="double"/>
          <w:rtl/>
        </w:rPr>
        <w:t>שיקולים רלוונטיים</w:t>
      </w:r>
      <w:r w:rsidRPr="00334BAE">
        <w:rPr>
          <w:rFonts w:ascii="David" w:hAnsi="David"/>
          <w:rtl/>
        </w:rPr>
        <w:t xml:space="preserve"> בבואו להכריע </w:t>
      </w:r>
      <w:r w:rsidR="007926C2" w:rsidRPr="00334BAE">
        <w:rPr>
          <w:rFonts w:ascii="David" w:hAnsi="David" w:hint="cs"/>
          <w:rtl/>
        </w:rPr>
        <w:t>שאין המשיבה חייבת בשלב זה במזונות זמניים</w:t>
      </w:r>
      <w:r w:rsidRPr="00334BAE">
        <w:rPr>
          <w:rFonts w:ascii="David" w:hAnsi="David"/>
          <w:rtl/>
        </w:rPr>
        <w:t>, תוך ראיית התמונה הרחבה</w:t>
      </w:r>
      <w:r w:rsidR="009731CD" w:rsidRPr="00334BAE">
        <w:rPr>
          <w:rFonts w:ascii="David" w:hAnsi="David"/>
          <w:rtl/>
        </w:rPr>
        <w:t xml:space="preserve"> ככל האפשר </w:t>
      </w:r>
      <w:r w:rsidR="009731CD" w:rsidRPr="00334BAE">
        <w:rPr>
          <w:rFonts w:ascii="David" w:hAnsi="David"/>
          <w:u w:val="single"/>
          <w:rtl/>
        </w:rPr>
        <w:t>בנסיבות התיק והצדדים</w:t>
      </w:r>
      <w:r w:rsidR="009731CD" w:rsidRPr="00334BAE">
        <w:rPr>
          <w:rFonts w:ascii="David" w:hAnsi="David" w:hint="cs"/>
          <w:rtl/>
        </w:rPr>
        <w:t xml:space="preserve">, בין היתר שם לנגד עיניו את </w:t>
      </w:r>
      <w:r w:rsidR="006618F3" w:rsidRPr="00334BAE">
        <w:rPr>
          <w:rFonts w:ascii="David" w:hAnsi="David" w:hint="cs"/>
          <w:rtl/>
        </w:rPr>
        <w:t xml:space="preserve">השיקולים המצטברים הבאים: </w:t>
      </w:r>
      <w:r w:rsidR="009731CD" w:rsidRPr="00334BAE">
        <w:rPr>
          <w:rFonts w:ascii="David" w:hAnsi="David" w:hint="cs"/>
          <w:b/>
          <w:bCs/>
          <w:rtl/>
        </w:rPr>
        <w:t>לא ניתן להתעלם מהסכמת המבקש בהס</w:t>
      </w:r>
      <w:r w:rsidR="006618F3" w:rsidRPr="00334BAE">
        <w:rPr>
          <w:rFonts w:ascii="David" w:hAnsi="David" w:hint="cs"/>
          <w:b/>
          <w:bCs/>
          <w:rtl/>
        </w:rPr>
        <w:t xml:space="preserve">כם הגירושין לשלם למשיבה מזונות בסך 5,000 ₪ למרות היות הקטינים מחצית מהזמן אצלו; החיוב הנ"ל בסך 5,000 ₪ בוטל </w:t>
      </w:r>
      <w:r w:rsidR="007926C2" w:rsidRPr="00334BAE">
        <w:rPr>
          <w:rFonts w:ascii="David" w:hAnsi="David" w:hint="cs"/>
          <w:b/>
          <w:bCs/>
          <w:rtl/>
        </w:rPr>
        <w:t xml:space="preserve">כיום </w:t>
      </w:r>
      <w:r w:rsidR="006618F3" w:rsidRPr="00334BAE">
        <w:rPr>
          <w:rFonts w:ascii="David" w:hAnsi="David" w:hint="cs"/>
          <w:b/>
          <w:bCs/>
          <w:rtl/>
        </w:rPr>
        <w:t>כך שלמבקש התווספה הכנסה פנויה של 5,000 ₪; גיל הקטינים</w:t>
      </w:r>
      <w:r w:rsidR="00334BAE">
        <w:rPr>
          <w:rFonts w:ascii="David" w:hAnsi="David" w:hint="cs"/>
          <w:b/>
          <w:bCs/>
          <w:rtl/>
        </w:rPr>
        <w:t xml:space="preserve"> כיום</w:t>
      </w:r>
      <w:r w:rsidR="006618F3" w:rsidRPr="00334BAE">
        <w:rPr>
          <w:rFonts w:ascii="David" w:hAnsi="David" w:hint="cs"/>
          <w:b/>
          <w:bCs/>
          <w:rtl/>
        </w:rPr>
        <w:t xml:space="preserve"> כבני 15-16; הכנסות הצדדים בפרט הכנסתו של המבקש בשים לב לכך שהינו בעלים של החברה ממנה מקבל הכנסות </w:t>
      </w:r>
      <w:r w:rsidR="009A615B" w:rsidRPr="00334BAE">
        <w:rPr>
          <w:rFonts w:ascii="David" w:hAnsi="David" w:hint="cs"/>
          <w:b/>
          <w:bCs/>
          <w:rtl/>
        </w:rPr>
        <w:t>תוך ניכויי רשות רבים</w:t>
      </w:r>
      <w:r w:rsidR="009A615B" w:rsidRPr="00334BAE">
        <w:rPr>
          <w:rFonts w:ascii="David" w:hAnsi="David" w:hint="cs"/>
          <w:rtl/>
        </w:rPr>
        <w:t xml:space="preserve"> ועוד.</w:t>
      </w:r>
      <w:r w:rsidR="006618F3" w:rsidRPr="00334BAE">
        <w:rPr>
          <w:rFonts w:ascii="David" w:hAnsi="David" w:hint="cs"/>
          <w:rtl/>
        </w:rPr>
        <w:t xml:space="preserve"> </w:t>
      </w:r>
    </w:p>
    <w:p w:rsidR="0064569C" w:rsidRDefault="0064569C" w:rsidP="006618F3">
      <w:pPr>
        <w:pStyle w:val="affffc"/>
        <w:spacing w:line="360" w:lineRule="auto"/>
        <w:jc w:val="both"/>
        <w:rPr>
          <w:rFonts w:ascii="Arial" w:hAnsi="Arial"/>
          <w:noProof/>
          <w:rtl/>
        </w:rPr>
      </w:pPr>
      <w:r>
        <w:rPr>
          <w:rFonts w:ascii="Arial" w:hAnsi="Arial" w:hint="cs"/>
          <w:noProof/>
          <w:rtl/>
        </w:rPr>
        <w:t>לכך נוסיף את אשר ציין בימ"ש קמא בסעיף 10 להחלטתו:</w:t>
      </w:r>
    </w:p>
    <w:p w:rsidR="0064569C" w:rsidRDefault="0064569C" w:rsidP="006618F3">
      <w:pPr>
        <w:pStyle w:val="affffc"/>
        <w:spacing w:line="360" w:lineRule="auto"/>
        <w:jc w:val="both"/>
        <w:rPr>
          <w:rFonts w:ascii="Arial" w:hAnsi="Arial"/>
          <w:noProof/>
          <w:rtl/>
        </w:rPr>
      </w:pPr>
      <w:r w:rsidRPr="0064569C">
        <w:rPr>
          <w:rFonts w:ascii="Arial" w:hAnsi="Arial"/>
          <w:noProof/>
          <w:rtl/>
        </w:rPr>
        <w:drawing>
          <wp:inline distT="0" distB="0" distL="0" distR="0" wp14:anchorId="4D3AEF99" wp14:editId="4DC11603">
            <wp:extent cx="4617720" cy="599242"/>
            <wp:effectExtent l="0" t="0" r="0"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46638" cy="602995"/>
                    </a:xfrm>
                    <a:prstGeom prst="rect">
                      <a:avLst/>
                    </a:prstGeom>
                  </pic:spPr>
                </pic:pic>
              </a:graphicData>
            </a:graphic>
          </wp:inline>
        </w:drawing>
      </w:r>
    </w:p>
    <w:p w:rsidR="009731CD" w:rsidRDefault="009731CD" w:rsidP="00E16E36">
      <w:pPr>
        <w:pStyle w:val="affffc"/>
        <w:spacing w:line="360" w:lineRule="auto"/>
        <w:jc w:val="both"/>
        <w:rPr>
          <w:rFonts w:ascii="Arial" w:hAnsi="Arial"/>
          <w:noProof/>
          <w:rtl/>
        </w:rPr>
      </w:pPr>
    </w:p>
    <w:p w:rsidR="00E16E36" w:rsidRDefault="009A615B" w:rsidP="007926C2">
      <w:pPr>
        <w:pStyle w:val="affffc"/>
        <w:numPr>
          <w:ilvl w:val="0"/>
          <w:numId w:val="11"/>
        </w:numPr>
        <w:spacing w:line="360" w:lineRule="auto"/>
        <w:jc w:val="both"/>
        <w:rPr>
          <w:rFonts w:ascii="Arial" w:eastAsia="Calibri" w:hAnsi="Arial"/>
        </w:rPr>
      </w:pPr>
      <w:r w:rsidRPr="009A615B">
        <w:rPr>
          <w:rFonts w:ascii="Arial" w:eastAsia="Calibri" w:hAnsi="Arial" w:hint="cs"/>
          <w:rtl/>
        </w:rPr>
        <w:t xml:space="preserve">בסעיפים 30-34 לערעורו </w:t>
      </w:r>
      <w:r w:rsidR="00E16E36" w:rsidRPr="009A615B">
        <w:rPr>
          <w:rFonts w:ascii="Arial" w:eastAsia="Calibri" w:hAnsi="Arial" w:hint="cs"/>
          <w:rtl/>
        </w:rPr>
        <w:t xml:space="preserve">תוקף </w:t>
      </w:r>
      <w:r>
        <w:rPr>
          <w:rFonts w:ascii="Arial" w:eastAsia="Calibri" w:hAnsi="Arial" w:hint="cs"/>
          <w:rtl/>
        </w:rPr>
        <w:t xml:space="preserve">המערער </w:t>
      </w:r>
      <w:r w:rsidR="00E16E36" w:rsidRPr="009A615B">
        <w:rPr>
          <w:rFonts w:ascii="Arial" w:eastAsia="Calibri" w:hAnsi="Arial" w:hint="cs"/>
          <w:rtl/>
        </w:rPr>
        <w:t xml:space="preserve">את </w:t>
      </w:r>
      <w:r w:rsidR="00E16E36" w:rsidRPr="009A615B">
        <w:rPr>
          <w:rFonts w:ascii="Arial" w:eastAsia="Calibri" w:hAnsi="Arial" w:hint="cs"/>
          <w:b/>
          <w:bCs/>
          <w:rtl/>
        </w:rPr>
        <w:t>הצעת</w:t>
      </w:r>
      <w:r w:rsidR="00E16E36" w:rsidRPr="009A615B">
        <w:rPr>
          <w:rFonts w:ascii="Arial" w:eastAsia="Calibri" w:hAnsi="Arial" w:hint="cs"/>
          <w:rtl/>
        </w:rPr>
        <w:t xml:space="preserve"> בית המשפט שניתנה לצדדים טרם מתן החלטתו</w:t>
      </w:r>
      <w:r>
        <w:rPr>
          <w:rFonts w:ascii="Arial" w:eastAsia="Calibri" w:hAnsi="Arial" w:hint="cs"/>
          <w:rtl/>
        </w:rPr>
        <w:t>;</w:t>
      </w:r>
      <w:r w:rsidR="00E16E36" w:rsidRPr="009A615B">
        <w:rPr>
          <w:rFonts w:ascii="Arial" w:eastAsia="Calibri" w:hAnsi="Arial" w:hint="cs"/>
          <w:rtl/>
        </w:rPr>
        <w:t xml:space="preserve"> אלא שבכל הכבוד הראוי לא הבינותי מה הרלוונטיות של </w:t>
      </w:r>
      <w:r w:rsidR="00E16E36" w:rsidRPr="009A615B">
        <w:rPr>
          <w:rFonts w:ascii="Arial" w:eastAsia="Calibri" w:hAnsi="Arial" w:hint="cs"/>
          <w:b/>
          <w:bCs/>
          <w:rtl/>
        </w:rPr>
        <w:t>הצעת</w:t>
      </w:r>
      <w:r w:rsidR="00E16E36" w:rsidRPr="009A615B">
        <w:rPr>
          <w:rFonts w:ascii="Arial" w:eastAsia="Calibri" w:hAnsi="Arial" w:hint="cs"/>
          <w:rtl/>
        </w:rPr>
        <w:t xml:space="preserve"> בית המשפט </w:t>
      </w:r>
      <w:r w:rsidR="007926C2">
        <w:rPr>
          <w:rFonts w:ascii="Arial" w:eastAsia="Calibri" w:hAnsi="Arial" w:hint="cs"/>
          <w:rtl/>
        </w:rPr>
        <w:t>להחלטת המזונות הזמניים.</w:t>
      </w:r>
      <w:r w:rsidR="00E16E36" w:rsidRPr="009A615B">
        <w:rPr>
          <w:rFonts w:ascii="Arial" w:eastAsia="Calibri" w:hAnsi="Arial" w:hint="cs"/>
          <w:rtl/>
        </w:rPr>
        <w:t xml:space="preserve"> בית המשפט הציע</w:t>
      </w:r>
      <w:r w:rsidR="007926C2">
        <w:rPr>
          <w:rFonts w:ascii="Arial" w:eastAsia="Calibri" w:hAnsi="Arial" w:hint="cs"/>
          <w:rtl/>
        </w:rPr>
        <w:t xml:space="preserve"> הצעה</w:t>
      </w:r>
      <w:r w:rsidR="00E16E36" w:rsidRPr="009A615B">
        <w:rPr>
          <w:rFonts w:ascii="Arial" w:eastAsia="Calibri" w:hAnsi="Arial" w:hint="cs"/>
          <w:rtl/>
        </w:rPr>
        <w:t xml:space="preserve">, מי מהצדדים או שניהם סירבו להצעה, ומשכך נתן בית משפט קמא את החלטתו שהינה </w:t>
      </w:r>
      <w:r w:rsidR="00E16E36" w:rsidRPr="007926C2">
        <w:rPr>
          <w:rFonts w:ascii="Arial" w:eastAsia="Calibri" w:hAnsi="Arial" w:hint="cs"/>
          <w:u w:val="single"/>
          <w:rtl/>
        </w:rPr>
        <w:t>לפי שורת הדין</w:t>
      </w:r>
      <w:r w:rsidR="00E16E36" w:rsidRPr="009A615B">
        <w:rPr>
          <w:rFonts w:ascii="Arial" w:eastAsia="Calibri" w:hAnsi="Arial" w:hint="cs"/>
          <w:rtl/>
        </w:rPr>
        <w:t xml:space="preserve"> </w:t>
      </w:r>
      <w:r w:rsidR="00E16E36" w:rsidRPr="009A615B">
        <w:rPr>
          <w:rFonts w:ascii="Arial" w:eastAsia="Calibri" w:hAnsi="Arial" w:hint="cs"/>
          <w:b/>
          <w:bCs/>
          <w:rtl/>
        </w:rPr>
        <w:t>ובזאת תם הדיון בהצעת בית המשפט</w:t>
      </w:r>
      <w:r w:rsidR="00E16E36" w:rsidRPr="009A615B">
        <w:rPr>
          <w:rFonts w:ascii="Arial" w:eastAsia="Calibri" w:hAnsi="Arial" w:hint="cs"/>
          <w:rtl/>
        </w:rPr>
        <w:t xml:space="preserve">. </w:t>
      </w:r>
    </w:p>
    <w:p w:rsidR="004524AD" w:rsidRDefault="004524AD" w:rsidP="004524AD">
      <w:pPr>
        <w:pStyle w:val="affffc"/>
        <w:spacing w:line="360" w:lineRule="auto"/>
        <w:jc w:val="both"/>
        <w:rPr>
          <w:rFonts w:ascii="Arial" w:eastAsia="Calibri" w:hAnsi="Arial"/>
        </w:rPr>
      </w:pPr>
    </w:p>
    <w:p w:rsidR="00E16E36" w:rsidRDefault="009A615B" w:rsidP="00334BAE">
      <w:pPr>
        <w:pStyle w:val="affffc"/>
        <w:numPr>
          <w:ilvl w:val="0"/>
          <w:numId w:val="11"/>
        </w:numPr>
        <w:spacing w:line="360" w:lineRule="auto"/>
        <w:jc w:val="both"/>
        <w:rPr>
          <w:rFonts w:ascii="Arial" w:eastAsia="Calibri" w:hAnsi="Arial"/>
        </w:rPr>
      </w:pPr>
      <w:r>
        <w:rPr>
          <w:rFonts w:ascii="Arial" w:eastAsia="Calibri" w:hAnsi="Arial" w:hint="cs"/>
          <w:rtl/>
        </w:rPr>
        <w:t xml:space="preserve">בסעיפים 35-39 חוזר המערער על טענותיו בבימ"ש קמא לעניין </w:t>
      </w:r>
      <w:r w:rsidRPr="009A615B">
        <w:rPr>
          <w:rFonts w:ascii="Arial" w:eastAsia="Calibri" w:hAnsi="Arial" w:hint="cs"/>
          <w:b/>
          <w:bCs/>
          <w:rtl/>
        </w:rPr>
        <w:t>רכוש</w:t>
      </w:r>
      <w:r>
        <w:rPr>
          <w:rFonts w:ascii="Arial" w:eastAsia="Calibri" w:hAnsi="Arial" w:hint="cs"/>
          <w:rtl/>
        </w:rPr>
        <w:t xml:space="preserve"> הצדדים; אלא</w:t>
      </w:r>
      <w:r w:rsidR="00E16E36">
        <w:rPr>
          <w:rFonts w:ascii="Arial" w:eastAsia="Calibri" w:hAnsi="Arial" w:hint="cs"/>
          <w:rtl/>
        </w:rPr>
        <w:t xml:space="preserve"> </w:t>
      </w:r>
      <w:r w:rsidR="00334BAE">
        <w:rPr>
          <w:rFonts w:ascii="Arial" w:eastAsia="Calibri" w:hAnsi="Arial" w:hint="cs"/>
          <w:rtl/>
        </w:rPr>
        <w:t xml:space="preserve">שסוגיה זו, כפי שקבע בימ"ש קמא, </w:t>
      </w:r>
      <w:r w:rsidR="004539A6">
        <w:rPr>
          <w:rFonts w:ascii="Arial" w:eastAsia="Calibri" w:hAnsi="Arial" w:hint="cs"/>
          <w:rtl/>
        </w:rPr>
        <w:t>איננה</w:t>
      </w:r>
      <w:r w:rsidR="002E5868">
        <w:rPr>
          <w:rFonts w:ascii="Arial" w:eastAsia="Calibri" w:hAnsi="Arial" w:hint="cs"/>
          <w:rtl/>
        </w:rPr>
        <w:t xml:space="preserve"> בעלת משקל ממשי </w:t>
      </w:r>
      <w:r>
        <w:rPr>
          <w:rFonts w:ascii="Arial" w:eastAsia="Calibri" w:hAnsi="Arial" w:hint="cs"/>
          <w:rtl/>
        </w:rPr>
        <w:t xml:space="preserve">בשלב </w:t>
      </w:r>
      <w:r w:rsidR="00334BAE">
        <w:rPr>
          <w:rFonts w:ascii="Arial" w:eastAsia="Calibri" w:hAnsi="Arial" w:hint="cs"/>
          <w:rtl/>
        </w:rPr>
        <w:t xml:space="preserve">זמני </w:t>
      </w:r>
      <w:r>
        <w:rPr>
          <w:rFonts w:ascii="Arial" w:eastAsia="Calibri" w:hAnsi="Arial" w:hint="cs"/>
          <w:rtl/>
        </w:rPr>
        <w:t xml:space="preserve">זה </w:t>
      </w:r>
      <w:r w:rsidR="002E5868">
        <w:rPr>
          <w:rFonts w:ascii="Arial" w:eastAsia="Calibri" w:hAnsi="Arial" w:hint="cs"/>
          <w:rtl/>
        </w:rPr>
        <w:t xml:space="preserve">של </w:t>
      </w:r>
      <w:r w:rsidR="004539A6">
        <w:rPr>
          <w:rFonts w:ascii="Arial" w:eastAsia="Calibri" w:hAnsi="Arial" w:hint="cs"/>
          <w:rtl/>
        </w:rPr>
        <w:t xml:space="preserve">מזונות </w:t>
      </w:r>
      <w:r>
        <w:rPr>
          <w:rFonts w:ascii="Arial" w:eastAsia="Calibri" w:hAnsi="Arial" w:hint="cs"/>
          <w:rtl/>
        </w:rPr>
        <w:t xml:space="preserve">זמניים </w:t>
      </w:r>
      <w:r w:rsidR="004539A6">
        <w:rPr>
          <w:rFonts w:ascii="Arial" w:eastAsia="Calibri" w:hAnsi="Arial" w:hint="cs"/>
          <w:rtl/>
        </w:rPr>
        <w:t xml:space="preserve">שכן המבקש לא הצביע על כל </w:t>
      </w:r>
      <w:r w:rsidR="004539A6" w:rsidRPr="002E5868">
        <w:rPr>
          <w:rFonts w:ascii="Arial" w:eastAsia="Calibri" w:hAnsi="Arial" w:hint="cs"/>
          <w:u w:val="single"/>
          <w:rtl/>
        </w:rPr>
        <w:t>שינוי נסיבות</w:t>
      </w:r>
      <w:r w:rsidR="004539A6">
        <w:rPr>
          <w:rFonts w:ascii="Arial" w:eastAsia="Calibri" w:hAnsi="Arial" w:hint="cs"/>
          <w:rtl/>
        </w:rPr>
        <w:t xml:space="preserve"> בעניין הרכוש</w:t>
      </w:r>
      <w:r w:rsidR="00334BAE">
        <w:rPr>
          <w:rFonts w:ascii="Arial" w:eastAsia="Calibri" w:hAnsi="Arial" w:hint="cs"/>
          <w:rtl/>
        </w:rPr>
        <w:t xml:space="preserve"> מאז הסכם הגירושין שנחתם אך לפני שנתיים. ו</w:t>
      </w:r>
      <w:r w:rsidR="004539A6">
        <w:rPr>
          <w:rFonts w:ascii="Arial" w:eastAsia="Calibri" w:hAnsi="Arial" w:hint="cs"/>
          <w:rtl/>
        </w:rPr>
        <w:t xml:space="preserve">אכן גם </w:t>
      </w:r>
      <w:r>
        <w:rPr>
          <w:rFonts w:ascii="Arial" w:eastAsia="Calibri" w:hAnsi="Arial" w:hint="cs"/>
          <w:rtl/>
        </w:rPr>
        <w:t>ב</w:t>
      </w:r>
      <w:r w:rsidR="004539A6">
        <w:rPr>
          <w:rFonts w:ascii="Arial" w:eastAsia="Calibri" w:hAnsi="Arial" w:hint="cs"/>
          <w:rtl/>
        </w:rPr>
        <w:t>בקשת רשות ערעור זו, מעבר ל</w:t>
      </w:r>
      <w:r>
        <w:rPr>
          <w:rFonts w:ascii="Arial" w:eastAsia="Calibri" w:hAnsi="Arial" w:hint="cs"/>
          <w:rtl/>
        </w:rPr>
        <w:t>סקי</w:t>
      </w:r>
      <w:r w:rsidR="004539A6">
        <w:rPr>
          <w:rFonts w:ascii="Arial" w:eastAsia="Calibri" w:hAnsi="Arial" w:hint="cs"/>
          <w:rtl/>
        </w:rPr>
        <w:t>רת הרכוש</w:t>
      </w:r>
      <w:r w:rsidR="002E5868">
        <w:rPr>
          <w:rFonts w:ascii="Arial" w:eastAsia="Calibri" w:hAnsi="Arial" w:hint="cs"/>
          <w:rtl/>
        </w:rPr>
        <w:t xml:space="preserve"> בסעיפים הנ"ל</w:t>
      </w:r>
      <w:r w:rsidR="004539A6">
        <w:rPr>
          <w:rFonts w:ascii="Arial" w:eastAsia="Calibri" w:hAnsi="Arial" w:hint="cs"/>
          <w:rtl/>
        </w:rPr>
        <w:t xml:space="preserve">, </w:t>
      </w:r>
      <w:r w:rsidR="004539A6" w:rsidRPr="009A615B">
        <w:rPr>
          <w:rFonts w:ascii="Arial" w:eastAsia="Calibri" w:hAnsi="Arial" w:hint="cs"/>
          <w:b/>
          <w:bCs/>
          <w:rtl/>
        </w:rPr>
        <w:t xml:space="preserve">המבקש לא טורח לפרט האם חל </w:t>
      </w:r>
      <w:r w:rsidR="004539A6" w:rsidRPr="002E5868">
        <w:rPr>
          <w:rFonts w:ascii="Arial" w:eastAsia="Calibri" w:hAnsi="Arial" w:hint="cs"/>
          <w:b/>
          <w:bCs/>
          <w:u w:val="single"/>
          <w:rtl/>
        </w:rPr>
        <w:t>שינוי</w:t>
      </w:r>
      <w:r w:rsidR="004539A6" w:rsidRPr="009A615B">
        <w:rPr>
          <w:rFonts w:ascii="Arial" w:eastAsia="Calibri" w:hAnsi="Arial" w:hint="cs"/>
          <w:b/>
          <w:bCs/>
          <w:rtl/>
        </w:rPr>
        <w:t xml:space="preserve"> כלשהו </w:t>
      </w:r>
      <w:r w:rsidR="002E5868">
        <w:rPr>
          <w:rFonts w:ascii="Arial" w:eastAsia="Calibri" w:hAnsi="Arial" w:hint="cs"/>
          <w:b/>
          <w:bCs/>
          <w:rtl/>
        </w:rPr>
        <w:t xml:space="preserve">ברכוש הצדדים </w:t>
      </w:r>
      <w:r w:rsidRPr="009A615B">
        <w:rPr>
          <w:rFonts w:ascii="Arial" w:eastAsia="Calibri" w:hAnsi="Arial" w:hint="cs"/>
          <w:b/>
          <w:bCs/>
          <w:rtl/>
        </w:rPr>
        <w:t>ביחס למועד הסכם הגירושין</w:t>
      </w:r>
      <w:r w:rsidR="004539A6" w:rsidRPr="009A615B">
        <w:rPr>
          <w:rFonts w:ascii="Arial" w:eastAsia="Calibri" w:hAnsi="Arial" w:hint="cs"/>
          <w:b/>
          <w:bCs/>
          <w:rtl/>
        </w:rPr>
        <w:t>,</w:t>
      </w:r>
      <w:r w:rsidR="004539A6">
        <w:rPr>
          <w:rFonts w:ascii="Arial" w:eastAsia="Calibri" w:hAnsi="Arial" w:hint="cs"/>
          <w:rtl/>
        </w:rPr>
        <w:t xml:space="preserve"> ומשכך צדק בית משפט קמא משלא נתן משקל </w:t>
      </w:r>
      <w:r w:rsidR="002E5868">
        <w:rPr>
          <w:rFonts w:ascii="Arial" w:eastAsia="Calibri" w:hAnsi="Arial" w:hint="cs"/>
          <w:rtl/>
        </w:rPr>
        <w:t xml:space="preserve">ממשי </w:t>
      </w:r>
      <w:r w:rsidR="004539A6">
        <w:rPr>
          <w:rFonts w:ascii="Arial" w:eastAsia="Calibri" w:hAnsi="Arial" w:hint="cs"/>
          <w:rtl/>
        </w:rPr>
        <w:t xml:space="preserve">לעניין זה במסגרת חיוב </w:t>
      </w:r>
      <w:r>
        <w:rPr>
          <w:rFonts w:ascii="Arial" w:eastAsia="Calibri" w:hAnsi="Arial" w:hint="cs"/>
          <w:rtl/>
        </w:rPr>
        <w:t xml:space="preserve">זמני של </w:t>
      </w:r>
      <w:r w:rsidR="004539A6">
        <w:rPr>
          <w:rFonts w:ascii="Arial" w:eastAsia="Calibri" w:hAnsi="Arial" w:hint="cs"/>
          <w:rtl/>
        </w:rPr>
        <w:t xml:space="preserve">מזונות. </w:t>
      </w:r>
    </w:p>
    <w:p w:rsidR="004539A6" w:rsidRPr="004539A6" w:rsidRDefault="004539A6" w:rsidP="004539A6">
      <w:pPr>
        <w:pStyle w:val="affffc"/>
        <w:rPr>
          <w:rFonts w:ascii="Arial" w:eastAsia="Calibri" w:hAnsi="Arial"/>
          <w:rtl/>
        </w:rPr>
      </w:pPr>
    </w:p>
    <w:p w:rsidR="004539A6" w:rsidRPr="00C40266" w:rsidRDefault="009A615B" w:rsidP="009144E6">
      <w:pPr>
        <w:pStyle w:val="affffc"/>
        <w:numPr>
          <w:ilvl w:val="0"/>
          <w:numId w:val="11"/>
        </w:numPr>
        <w:spacing w:line="360" w:lineRule="auto"/>
        <w:jc w:val="both"/>
        <w:rPr>
          <w:noProof/>
        </w:rPr>
      </w:pPr>
      <w:r w:rsidRPr="00C40266">
        <w:rPr>
          <w:rFonts w:ascii="Arial" w:eastAsia="Calibri" w:hAnsi="Arial" w:hint="cs"/>
          <w:rtl/>
        </w:rPr>
        <w:lastRenderedPageBreak/>
        <w:t>בסעיפים</w:t>
      </w:r>
      <w:r w:rsidR="006A7E91" w:rsidRPr="00C40266">
        <w:rPr>
          <w:rFonts w:ascii="Arial" w:eastAsia="Calibri" w:hAnsi="Arial" w:hint="cs"/>
          <w:rtl/>
        </w:rPr>
        <w:t xml:space="preserve"> 40-47 משיג המערער על קביעות</w:t>
      </w:r>
      <w:r w:rsidR="00334BAE">
        <w:rPr>
          <w:rFonts w:ascii="Arial" w:eastAsia="Calibri" w:hAnsi="Arial" w:hint="cs"/>
          <w:rtl/>
        </w:rPr>
        <w:t>יו של</w:t>
      </w:r>
      <w:r w:rsidR="006A7E91" w:rsidRPr="00C40266">
        <w:rPr>
          <w:rFonts w:ascii="Arial" w:eastAsia="Calibri" w:hAnsi="Arial" w:hint="cs"/>
          <w:rtl/>
        </w:rPr>
        <w:t xml:space="preserve"> בימ"ש קמא לעניין הכנסות הצדדים</w:t>
      </w:r>
      <w:r w:rsidR="00334BAE">
        <w:rPr>
          <w:rFonts w:ascii="Arial" w:eastAsia="Calibri" w:hAnsi="Arial" w:hint="cs"/>
          <w:rtl/>
        </w:rPr>
        <w:t xml:space="preserve"> </w:t>
      </w:r>
      <w:r w:rsidR="006A7E91" w:rsidRPr="00C40266">
        <w:rPr>
          <w:rFonts w:ascii="Arial" w:eastAsia="Calibri" w:hAnsi="Arial" w:hint="cs"/>
          <w:rtl/>
        </w:rPr>
        <w:t xml:space="preserve">לצורך שקילת מזונות זמניים; </w:t>
      </w:r>
      <w:r w:rsidR="00C40266">
        <w:rPr>
          <w:rFonts w:ascii="Arial" w:eastAsia="Calibri" w:hAnsi="Arial" w:hint="cs"/>
          <w:rtl/>
        </w:rPr>
        <w:t xml:space="preserve">ראשית נזכיר </w:t>
      </w:r>
      <w:r w:rsidR="006A7E91" w:rsidRPr="00C40266">
        <w:rPr>
          <w:rFonts w:ascii="Arial" w:eastAsia="Calibri" w:hAnsi="Arial" w:hint="cs"/>
          <w:rtl/>
        </w:rPr>
        <w:t xml:space="preserve">שמדובר </w:t>
      </w:r>
      <w:r w:rsidR="006A7E91">
        <w:rPr>
          <w:rFonts w:hint="cs"/>
          <w:noProof/>
          <w:rtl/>
        </w:rPr>
        <w:t>ב</w:t>
      </w:r>
      <w:r w:rsidR="004539A6">
        <w:rPr>
          <w:noProof/>
          <w:rtl/>
        </w:rPr>
        <w:t xml:space="preserve">ממצאי עובדה ומהימנות שנקבעו </w:t>
      </w:r>
      <w:r w:rsidR="006A7E91">
        <w:rPr>
          <w:rFonts w:hint="cs"/>
          <w:noProof/>
          <w:rtl/>
        </w:rPr>
        <w:t>ע"י בימ"ש קמא לאחר שכל צד הניח בפני ביהמ"ש מסמכים רלוונטיים</w:t>
      </w:r>
      <w:r w:rsidR="00334BAE">
        <w:rPr>
          <w:rFonts w:hint="cs"/>
          <w:noProof/>
          <w:rtl/>
        </w:rPr>
        <w:t xml:space="preserve"> רבים מאד</w:t>
      </w:r>
      <w:r w:rsidR="006A7E91">
        <w:rPr>
          <w:rFonts w:hint="cs"/>
          <w:noProof/>
          <w:rtl/>
        </w:rPr>
        <w:t xml:space="preserve"> </w:t>
      </w:r>
      <w:r w:rsidR="006A7E91" w:rsidRPr="00A073BF">
        <w:rPr>
          <w:rFonts w:hint="cs"/>
          <w:b/>
          <w:bCs/>
          <w:noProof/>
          <w:rtl/>
        </w:rPr>
        <w:t>ולאחר שמיעת הצדדים בדיון</w:t>
      </w:r>
      <w:r w:rsidR="006A7E91">
        <w:rPr>
          <w:rFonts w:hint="cs"/>
          <w:noProof/>
          <w:rtl/>
        </w:rPr>
        <w:t>.</w:t>
      </w:r>
      <w:r w:rsidR="004539A6">
        <w:rPr>
          <w:noProof/>
          <w:rtl/>
        </w:rPr>
        <w:t xml:space="preserve"> בפסיקה נאמר לא אחת, כי הליך </w:t>
      </w:r>
      <w:r w:rsidR="002E5868">
        <w:rPr>
          <w:rFonts w:hint="cs"/>
          <w:noProof/>
          <w:rtl/>
        </w:rPr>
        <w:t>ערעורי</w:t>
      </w:r>
      <w:r w:rsidR="004539A6">
        <w:rPr>
          <w:noProof/>
          <w:rtl/>
        </w:rPr>
        <w:t xml:space="preserve"> לא נועד לשמש במה לדיון מבראשית בטענות העובדתיות שנדונו והוכרעו על ידי הערכאה הדיונית, והתערבות ערכאת הערעור בקביעות עובדתיות ובממצאי מהימנות תיעשה בהתקיים נסיבות מיוחדות וחריגות בלבד, בהן מתגלה </w:t>
      </w:r>
      <w:r w:rsidR="004539A6" w:rsidRPr="002E5868">
        <w:rPr>
          <w:noProof/>
          <w:u w:val="single"/>
          <w:rtl/>
        </w:rPr>
        <w:t>שגיאה בולטת</w:t>
      </w:r>
      <w:r w:rsidR="004539A6">
        <w:rPr>
          <w:noProof/>
          <w:rtl/>
        </w:rPr>
        <w:t xml:space="preserve"> על פני החלטתו של בית משפט קמא. כך למשל כאשר ממצאי העובדה אינם מעוגנים כלל בחומר הראיות, או מקום שבו הגרסה העובדתית שאותה אימץ בית משפט קמא אינה מתקבלת על הדעת ואינה מתיישבת עם מבחנים של היגיון ושכל ישר (</w:t>
      </w:r>
      <w:r w:rsidR="004539A6" w:rsidRPr="00C40266">
        <w:rPr>
          <w:b/>
          <w:bCs/>
          <w:noProof/>
          <w:u w:val="single"/>
          <w:rtl/>
        </w:rPr>
        <w:t>ע"א 10225/02</w:t>
      </w:r>
      <w:r w:rsidR="004539A6">
        <w:rPr>
          <w:noProof/>
          <w:rtl/>
        </w:rPr>
        <w:t xml:space="preserve"> </w:t>
      </w:r>
      <w:r w:rsidR="004539A6" w:rsidRPr="00C40266">
        <w:rPr>
          <w:b/>
          <w:bCs/>
          <w:noProof/>
          <w:rtl/>
        </w:rPr>
        <w:t>פרץ נ' פרץ בוני הנגב</w:t>
      </w:r>
      <w:r w:rsidR="004539A6">
        <w:rPr>
          <w:noProof/>
          <w:rtl/>
        </w:rPr>
        <w:t xml:space="preserve"> (15.1.2004); </w:t>
      </w:r>
      <w:r w:rsidR="004539A6" w:rsidRPr="00C40266">
        <w:rPr>
          <w:b/>
          <w:bCs/>
          <w:noProof/>
          <w:u w:val="single"/>
          <w:rtl/>
        </w:rPr>
        <w:t>ע"א 826/21</w:t>
      </w:r>
      <w:r w:rsidR="004539A6">
        <w:rPr>
          <w:noProof/>
          <w:rtl/>
        </w:rPr>
        <w:t xml:space="preserve"> ‏</w:t>
      </w:r>
      <w:r w:rsidR="004539A6" w:rsidRPr="00C40266">
        <w:rPr>
          <w:b/>
          <w:bCs/>
          <w:noProof/>
          <w:rtl/>
        </w:rPr>
        <w:t>הימנותא בע"מ נ' יוסף שדאד</w:t>
      </w:r>
      <w:r w:rsidR="004539A6">
        <w:rPr>
          <w:noProof/>
          <w:rtl/>
        </w:rPr>
        <w:t xml:space="preserve"> (3.3.2021)).</w:t>
      </w:r>
    </w:p>
    <w:p w:rsidR="002E5868" w:rsidRDefault="004539A6" w:rsidP="005456E2">
      <w:pPr>
        <w:spacing w:line="360" w:lineRule="auto"/>
        <w:ind w:left="720"/>
        <w:jc w:val="both"/>
        <w:rPr>
          <w:noProof/>
          <w:rtl/>
        </w:rPr>
      </w:pPr>
      <w:r>
        <w:rPr>
          <w:noProof/>
          <w:rtl/>
        </w:rPr>
        <w:t xml:space="preserve">המקרה דנן אינו נכלל באותם מקרים "חריגים קיצוניים". </w:t>
      </w:r>
      <w:r w:rsidR="00C40266">
        <w:rPr>
          <w:rFonts w:hint="cs"/>
          <w:noProof/>
          <w:rtl/>
        </w:rPr>
        <w:t xml:space="preserve">אכן נכון הוא שהתמונה שהונחה לפני בימ"ש קמא הינה תמונה </w:t>
      </w:r>
      <w:r w:rsidR="00C40266" w:rsidRPr="00C40266">
        <w:rPr>
          <w:rFonts w:hint="cs"/>
          <w:b/>
          <w:bCs/>
          <w:noProof/>
          <w:rtl/>
        </w:rPr>
        <w:t>ראשונית</w:t>
      </w:r>
      <w:r w:rsidR="00C40266">
        <w:rPr>
          <w:rFonts w:hint="cs"/>
          <w:noProof/>
          <w:rtl/>
        </w:rPr>
        <w:t xml:space="preserve"> ומטבע הדברים </w:t>
      </w:r>
      <w:r w:rsidR="00C40266" w:rsidRPr="00C40266">
        <w:rPr>
          <w:rFonts w:hint="cs"/>
          <w:b/>
          <w:bCs/>
          <w:noProof/>
          <w:rtl/>
        </w:rPr>
        <w:t>חלקית</w:t>
      </w:r>
      <w:r w:rsidR="00C40266">
        <w:rPr>
          <w:rFonts w:hint="cs"/>
          <w:noProof/>
          <w:rtl/>
        </w:rPr>
        <w:t xml:space="preserve"> כפי שבימ"ש קמא עצמו מציין בסעיף 18 להחלטתו ש"</w:t>
      </w:r>
      <w:r w:rsidR="00C40266" w:rsidRPr="002E5868">
        <w:rPr>
          <w:rFonts w:ascii="Aharoni" w:hAnsi="Aharoni" w:cs="Aharoni"/>
          <w:noProof/>
          <w:rtl/>
        </w:rPr>
        <w:t>הדבר דורש בירור יסודי ומעמיק</w:t>
      </w:r>
      <w:r w:rsidR="00C40266">
        <w:rPr>
          <w:rFonts w:hint="cs"/>
          <w:noProof/>
          <w:rtl/>
        </w:rPr>
        <w:t xml:space="preserve">", </w:t>
      </w:r>
      <w:r w:rsidR="004109F8">
        <w:rPr>
          <w:rFonts w:hint="cs"/>
          <w:noProof/>
          <w:rtl/>
        </w:rPr>
        <w:t xml:space="preserve">ולמבקש טענות רבות כנגד </w:t>
      </w:r>
      <w:r w:rsidR="00C40266">
        <w:rPr>
          <w:rFonts w:ascii="Arial" w:hAnsi="Arial" w:hint="cs"/>
          <w:noProof/>
          <w:rtl/>
        </w:rPr>
        <w:t>הת</w:t>
      </w:r>
      <w:r w:rsidR="002E5868">
        <w:rPr>
          <w:rFonts w:ascii="Arial" w:hAnsi="Arial" w:hint="cs"/>
          <w:noProof/>
          <w:rtl/>
        </w:rPr>
        <w:t>נ</w:t>
      </w:r>
      <w:r w:rsidR="00C40266">
        <w:rPr>
          <w:rFonts w:ascii="Arial" w:hAnsi="Arial" w:hint="cs"/>
          <w:noProof/>
          <w:rtl/>
        </w:rPr>
        <w:t xml:space="preserve">הלותה הכלכלית של המשיבה והכנסותיה הלא מוצהרות לטענתו מעסק לבניית ציפורניים, </w:t>
      </w:r>
      <w:r w:rsidR="004109F8">
        <w:rPr>
          <w:rFonts w:ascii="Arial" w:hAnsi="Arial" w:hint="cs"/>
          <w:noProof/>
          <w:rtl/>
        </w:rPr>
        <w:t xml:space="preserve">ברם </w:t>
      </w:r>
      <w:r w:rsidR="004109F8">
        <w:rPr>
          <w:rFonts w:ascii="David" w:hAnsi="David" w:hint="cs"/>
          <w:rtl/>
        </w:rPr>
        <w:t>מ</w:t>
      </w:r>
      <w:r w:rsidR="00C40266" w:rsidRPr="006A7E91">
        <w:rPr>
          <w:rFonts w:ascii="David" w:hAnsi="David"/>
          <w:rtl/>
        </w:rPr>
        <w:t xml:space="preserve">קומן של טענות </w:t>
      </w:r>
      <w:r w:rsidR="004109F8">
        <w:rPr>
          <w:rFonts w:ascii="David" w:hAnsi="David" w:hint="cs"/>
          <w:rtl/>
        </w:rPr>
        <w:t xml:space="preserve">אלו </w:t>
      </w:r>
      <w:r w:rsidR="00C40266" w:rsidRPr="006A7E91">
        <w:rPr>
          <w:rFonts w:ascii="David" w:hAnsi="David"/>
          <w:rtl/>
        </w:rPr>
        <w:t xml:space="preserve">להתברר כדבעי במסגרת הליך הוכחות והבאת ראיות; </w:t>
      </w:r>
      <w:r w:rsidR="00C40266" w:rsidRPr="00A073BF">
        <w:rPr>
          <w:rFonts w:ascii="David" w:hAnsi="David"/>
          <w:b/>
          <w:bCs/>
          <w:rtl/>
        </w:rPr>
        <w:t xml:space="preserve">אין מקום במסגרת הליך פסיקת מזונות זמניים, שהינו מהיר ונשען </w:t>
      </w:r>
      <w:r w:rsidR="009144E6">
        <w:rPr>
          <w:rFonts w:ascii="David" w:hAnsi="David" w:hint="cs"/>
          <w:b/>
          <w:bCs/>
          <w:rtl/>
        </w:rPr>
        <w:t>מ</w:t>
      </w:r>
      <w:r w:rsidR="00C40266" w:rsidRPr="00A073BF">
        <w:rPr>
          <w:rFonts w:ascii="David" w:hAnsi="David"/>
          <w:b/>
          <w:bCs/>
          <w:rtl/>
        </w:rPr>
        <w:t>לכתחילה על תמונה חלקית בלבד, להכריע כבר עתה ולקבוע מסמרות בכל הקשור להכנסות הצדדים ויכולת השתכרותם.</w:t>
      </w:r>
    </w:p>
    <w:p w:rsidR="002E5868" w:rsidRDefault="004109F8" w:rsidP="005456E2">
      <w:pPr>
        <w:spacing w:line="360" w:lineRule="auto"/>
        <w:ind w:left="720"/>
        <w:jc w:val="both"/>
        <w:rPr>
          <w:rFonts w:ascii="David" w:hAnsi="David"/>
          <w:rtl/>
        </w:rPr>
      </w:pPr>
      <w:r>
        <w:rPr>
          <w:rFonts w:hint="cs"/>
          <w:noProof/>
          <w:rtl/>
        </w:rPr>
        <w:t>עי</w:t>
      </w:r>
      <w:r w:rsidR="004539A6">
        <w:rPr>
          <w:noProof/>
          <w:rtl/>
        </w:rPr>
        <w:t xml:space="preserve">ון </w:t>
      </w:r>
      <w:r w:rsidR="006A7E91">
        <w:rPr>
          <w:rFonts w:hint="cs"/>
          <w:noProof/>
          <w:rtl/>
        </w:rPr>
        <w:t>בהחלט</w:t>
      </w:r>
      <w:r>
        <w:rPr>
          <w:rFonts w:hint="cs"/>
          <w:noProof/>
          <w:rtl/>
        </w:rPr>
        <w:t>תו של בימ"ש קמא</w:t>
      </w:r>
      <w:r w:rsidR="006A7E91">
        <w:rPr>
          <w:rFonts w:hint="cs"/>
          <w:noProof/>
          <w:rtl/>
        </w:rPr>
        <w:t xml:space="preserve"> </w:t>
      </w:r>
      <w:r w:rsidR="004539A6">
        <w:rPr>
          <w:noProof/>
          <w:rtl/>
        </w:rPr>
        <w:t>לכל אורכ</w:t>
      </w:r>
      <w:r w:rsidR="006A7E91">
        <w:rPr>
          <w:rFonts w:hint="cs"/>
          <w:noProof/>
          <w:rtl/>
        </w:rPr>
        <w:t>ה</w:t>
      </w:r>
      <w:r w:rsidR="004539A6">
        <w:rPr>
          <w:noProof/>
          <w:rtl/>
        </w:rPr>
        <w:t>, נימוקי</w:t>
      </w:r>
      <w:r w:rsidR="006A7E91">
        <w:rPr>
          <w:rFonts w:hint="cs"/>
          <w:noProof/>
          <w:rtl/>
        </w:rPr>
        <w:t>ה</w:t>
      </w:r>
      <w:r w:rsidR="004539A6">
        <w:rPr>
          <w:noProof/>
          <w:rtl/>
        </w:rPr>
        <w:t xml:space="preserve"> וקביעותי</w:t>
      </w:r>
      <w:r w:rsidR="006A7E91">
        <w:rPr>
          <w:rFonts w:hint="cs"/>
          <w:noProof/>
          <w:rtl/>
        </w:rPr>
        <w:t>ה</w:t>
      </w:r>
      <w:r w:rsidR="004539A6">
        <w:rPr>
          <w:noProof/>
          <w:rtl/>
        </w:rPr>
        <w:t xml:space="preserve">, מלמד כי </w:t>
      </w:r>
      <w:r w:rsidR="004539A6">
        <w:rPr>
          <w:rFonts w:ascii="David" w:hAnsi="David"/>
          <w:rtl/>
        </w:rPr>
        <w:t xml:space="preserve">בית משפט קמא דן </w:t>
      </w:r>
      <w:r w:rsidR="004539A6" w:rsidRPr="00A073BF">
        <w:rPr>
          <w:rFonts w:ascii="David" w:hAnsi="David"/>
          <w:u w:val="single"/>
          <w:rtl/>
        </w:rPr>
        <w:t>באופן יסודי</w:t>
      </w:r>
      <w:r w:rsidR="004539A6">
        <w:rPr>
          <w:rFonts w:ascii="David" w:hAnsi="David"/>
          <w:rtl/>
        </w:rPr>
        <w:t xml:space="preserve"> בטענות הצדדים</w:t>
      </w:r>
      <w:r>
        <w:rPr>
          <w:rFonts w:ascii="David" w:hAnsi="David" w:hint="cs"/>
          <w:rtl/>
        </w:rPr>
        <w:t xml:space="preserve"> מכאן ומכאן</w:t>
      </w:r>
      <w:r w:rsidR="004539A6">
        <w:rPr>
          <w:rFonts w:ascii="David" w:hAnsi="David"/>
          <w:rtl/>
        </w:rPr>
        <w:t xml:space="preserve">, </w:t>
      </w:r>
      <w:r w:rsidR="004539A6" w:rsidRPr="00A073BF">
        <w:rPr>
          <w:rFonts w:ascii="David" w:hAnsi="David"/>
          <w:u w:val="single"/>
          <w:rtl/>
        </w:rPr>
        <w:t>בחן</w:t>
      </w:r>
      <w:r w:rsidR="004539A6">
        <w:rPr>
          <w:rFonts w:ascii="David" w:hAnsi="David"/>
          <w:rtl/>
        </w:rPr>
        <w:t xml:space="preserve"> את חומר הראיות שהונח לפניו</w:t>
      </w:r>
      <w:r>
        <w:rPr>
          <w:rFonts w:ascii="David" w:hAnsi="David" w:hint="cs"/>
          <w:rtl/>
        </w:rPr>
        <w:t xml:space="preserve"> לצורך מתן סעד </w:t>
      </w:r>
      <w:r w:rsidRPr="004109F8">
        <w:rPr>
          <w:rFonts w:ascii="David" w:hAnsi="David" w:hint="cs"/>
          <w:u w:val="single"/>
          <w:rtl/>
        </w:rPr>
        <w:t>זמני</w:t>
      </w:r>
      <w:r>
        <w:rPr>
          <w:rFonts w:ascii="David" w:hAnsi="David" w:hint="cs"/>
          <w:rtl/>
        </w:rPr>
        <w:t xml:space="preserve"> של מזונות זמניים</w:t>
      </w:r>
      <w:r w:rsidR="004539A6">
        <w:rPr>
          <w:rFonts w:ascii="David" w:hAnsi="David"/>
          <w:rtl/>
        </w:rPr>
        <w:t xml:space="preserve">, והתרשם </w:t>
      </w:r>
      <w:r w:rsidR="006A7E91">
        <w:rPr>
          <w:rFonts w:ascii="David" w:hAnsi="David" w:hint="cs"/>
          <w:rtl/>
        </w:rPr>
        <w:t>מהצדדים</w:t>
      </w:r>
      <w:r w:rsidR="004539A6">
        <w:rPr>
          <w:rFonts w:ascii="David" w:hAnsi="David"/>
          <w:rtl/>
        </w:rPr>
        <w:t xml:space="preserve">. </w:t>
      </w:r>
      <w:r w:rsidR="004539A6" w:rsidRPr="004109F8">
        <w:rPr>
          <w:rFonts w:ascii="David" w:hAnsi="David"/>
          <w:b/>
          <w:bCs/>
          <w:u w:val="single"/>
          <w:rtl/>
        </w:rPr>
        <w:t>על יסוד כל אלה</w:t>
      </w:r>
      <w:r w:rsidR="004539A6">
        <w:rPr>
          <w:rFonts w:ascii="David" w:hAnsi="David"/>
          <w:rtl/>
        </w:rPr>
        <w:t xml:space="preserve"> נית</w:t>
      </w:r>
      <w:r w:rsidR="006A7E91">
        <w:rPr>
          <w:rFonts w:ascii="David" w:hAnsi="David" w:hint="cs"/>
          <w:rtl/>
        </w:rPr>
        <w:t>נה החלט</w:t>
      </w:r>
      <w:r>
        <w:rPr>
          <w:rFonts w:ascii="David" w:hAnsi="David" w:hint="cs"/>
          <w:rtl/>
        </w:rPr>
        <w:t>ת</w:t>
      </w:r>
      <w:r w:rsidR="006A7E91">
        <w:rPr>
          <w:rFonts w:ascii="David" w:hAnsi="David" w:hint="cs"/>
          <w:rtl/>
        </w:rPr>
        <w:t xml:space="preserve">ו </w:t>
      </w:r>
      <w:r w:rsidR="006A7E91" w:rsidRPr="002E5868">
        <w:rPr>
          <w:rFonts w:ascii="David" w:hAnsi="David" w:hint="cs"/>
          <w:rtl/>
        </w:rPr>
        <w:t>המנומקת</w:t>
      </w:r>
      <w:r w:rsidR="006A7E91">
        <w:rPr>
          <w:rFonts w:ascii="David" w:hAnsi="David" w:hint="cs"/>
          <w:rtl/>
        </w:rPr>
        <w:t xml:space="preserve"> </w:t>
      </w:r>
      <w:r w:rsidR="004539A6">
        <w:rPr>
          <w:rFonts w:ascii="David" w:hAnsi="David"/>
          <w:rtl/>
        </w:rPr>
        <w:t>ולא מצאתי בטענות המערער כל בסיס להתערבות בקביעות אלה.</w:t>
      </w:r>
    </w:p>
    <w:p w:rsidR="006A7E91" w:rsidRDefault="009144E6" w:rsidP="005456E2">
      <w:pPr>
        <w:spacing w:line="360" w:lineRule="auto"/>
        <w:ind w:left="720"/>
        <w:jc w:val="both"/>
        <w:rPr>
          <w:rFonts w:ascii="Arial" w:hAnsi="Arial"/>
          <w:noProof/>
          <w:rtl/>
        </w:rPr>
      </w:pPr>
      <w:r>
        <w:rPr>
          <w:rFonts w:ascii="David" w:hAnsi="David" w:hint="cs"/>
          <w:rtl/>
        </w:rPr>
        <w:t xml:space="preserve">ועם כל זאת, </w:t>
      </w:r>
      <w:r w:rsidR="004109F8">
        <w:rPr>
          <w:rFonts w:ascii="David" w:hAnsi="David" w:hint="cs"/>
          <w:rtl/>
        </w:rPr>
        <w:t xml:space="preserve">בל נשכח כי </w:t>
      </w:r>
      <w:r w:rsidR="006A7E91">
        <w:rPr>
          <w:rFonts w:ascii="David" w:hAnsi="David"/>
          <w:rtl/>
        </w:rPr>
        <w:t xml:space="preserve"> מדובר בהחלטה זמנית בלבד, שאיננה סופית ו</w:t>
      </w:r>
      <w:r w:rsidR="00A073BF">
        <w:rPr>
          <w:rFonts w:ascii="David" w:hAnsi="David" w:hint="cs"/>
          <w:rtl/>
        </w:rPr>
        <w:t xml:space="preserve">הינה </w:t>
      </w:r>
      <w:r w:rsidR="006A7E91">
        <w:rPr>
          <w:rFonts w:ascii="David" w:hAnsi="David"/>
          <w:rtl/>
        </w:rPr>
        <w:t xml:space="preserve">מועדת לשינוי. עוד נזכיר, כי החלטת מזונות זמניים היא כספית במהותה וככזו היא הפיכה. </w:t>
      </w:r>
      <w:r w:rsidR="006A7E91">
        <w:rPr>
          <w:rFonts w:ascii="Arial" w:hAnsi="Arial"/>
          <w:noProof/>
          <w:rtl/>
        </w:rPr>
        <w:t>ככל שיתברר במהלך הישיבות הקרובות ו/או לאחר שמיעת ראיות כי נפלה טעות ב</w:t>
      </w:r>
      <w:r w:rsidR="002E5868">
        <w:rPr>
          <w:rFonts w:ascii="Arial" w:hAnsi="Arial" w:hint="cs"/>
          <w:noProof/>
          <w:rtl/>
        </w:rPr>
        <w:t>אי-חיוב המשיבה ב</w:t>
      </w:r>
      <w:r w:rsidR="006A7E91">
        <w:rPr>
          <w:rFonts w:ascii="Arial" w:hAnsi="Arial"/>
          <w:noProof/>
          <w:rtl/>
        </w:rPr>
        <w:t xml:space="preserve">מזונות זמניים, ניתן יהיה לתקן זאת לעבר </w:t>
      </w:r>
      <w:r w:rsidR="002E5868">
        <w:rPr>
          <w:rFonts w:ascii="Arial" w:hAnsi="Arial" w:hint="cs"/>
          <w:noProof/>
          <w:rtl/>
        </w:rPr>
        <w:t>ו</w:t>
      </w:r>
      <w:r w:rsidR="006A7E91">
        <w:rPr>
          <w:rFonts w:ascii="Arial" w:hAnsi="Arial"/>
          <w:noProof/>
          <w:rtl/>
        </w:rPr>
        <w:t>לעתיד.</w:t>
      </w:r>
      <w:r w:rsidR="004109F8">
        <w:rPr>
          <w:rFonts w:ascii="Arial" w:hAnsi="Arial" w:hint="cs"/>
          <w:noProof/>
          <w:rtl/>
        </w:rPr>
        <w:t xml:space="preserve"> בפרט כאשר בימ"ש קמא כבר קבע את התיק לשמיעת ראיות למועד שאיננו רחוק כלל ועיקר (באופן יחסי, בהתחשב בפגרת הקיץ, החגים לאחר מכן ופגרת סוכות) </w:t>
      </w:r>
      <w:r w:rsidR="004109F8">
        <w:rPr>
          <w:rFonts w:ascii="Arial" w:hAnsi="Arial"/>
          <w:noProof/>
          <w:rtl/>
        </w:rPr>
        <w:t>–</w:t>
      </w:r>
      <w:r w:rsidR="004109F8">
        <w:rPr>
          <w:rFonts w:ascii="Arial" w:hAnsi="Arial" w:hint="cs"/>
          <w:noProof/>
          <w:rtl/>
        </w:rPr>
        <w:t xml:space="preserve"> לחודש 2/24.</w:t>
      </w:r>
    </w:p>
    <w:p w:rsidR="00A073BF" w:rsidRDefault="00A073BF" w:rsidP="005456E2">
      <w:pPr>
        <w:spacing w:line="360" w:lineRule="auto"/>
        <w:ind w:left="720"/>
        <w:jc w:val="both"/>
        <w:rPr>
          <w:rFonts w:ascii="Arial" w:hAnsi="Arial"/>
          <w:noProof/>
          <w:rtl/>
        </w:rPr>
      </w:pPr>
    </w:p>
    <w:p w:rsidR="006526FE" w:rsidRDefault="006526FE" w:rsidP="005828CC">
      <w:pPr>
        <w:pStyle w:val="affffc"/>
        <w:numPr>
          <w:ilvl w:val="0"/>
          <w:numId w:val="11"/>
        </w:numPr>
        <w:spacing w:line="360" w:lineRule="auto"/>
        <w:jc w:val="both"/>
        <w:rPr>
          <w:rFonts w:ascii="Arial" w:eastAsia="Calibri" w:hAnsi="Arial"/>
        </w:rPr>
      </w:pPr>
      <w:r w:rsidRPr="006526FE">
        <w:rPr>
          <w:rFonts w:ascii="Arial" w:eastAsia="Calibri" w:hAnsi="Arial" w:hint="cs"/>
          <w:b/>
          <w:bCs/>
          <w:rtl/>
        </w:rPr>
        <w:t>אשר על כן ולאור כל האמור לעיל, בקשת רשות הערעור נדחית</w:t>
      </w:r>
      <w:r>
        <w:rPr>
          <w:rFonts w:ascii="Arial" w:eastAsia="Calibri" w:hAnsi="Arial" w:hint="cs"/>
          <w:rtl/>
        </w:rPr>
        <w:t>.</w:t>
      </w:r>
    </w:p>
    <w:p w:rsidR="006526FE" w:rsidRDefault="006526FE" w:rsidP="006526FE">
      <w:pPr>
        <w:pStyle w:val="affffc"/>
        <w:spacing w:line="360" w:lineRule="auto"/>
        <w:jc w:val="both"/>
        <w:rPr>
          <w:rFonts w:ascii="Arial" w:eastAsia="Calibri" w:hAnsi="Arial"/>
        </w:rPr>
      </w:pPr>
    </w:p>
    <w:p w:rsidR="00B15165" w:rsidRPr="006526FE" w:rsidRDefault="00E3046E" w:rsidP="00E3046E">
      <w:pPr>
        <w:pStyle w:val="affffc"/>
        <w:numPr>
          <w:ilvl w:val="0"/>
          <w:numId w:val="11"/>
        </w:numPr>
        <w:spacing w:line="360" w:lineRule="auto"/>
        <w:jc w:val="both"/>
        <w:rPr>
          <w:rFonts w:ascii="Arial" w:eastAsia="Calibri" w:hAnsi="Arial"/>
        </w:rPr>
      </w:pPr>
      <w:r>
        <w:rPr>
          <w:rFonts w:ascii="Arial" w:eastAsia="Calibri" w:hAnsi="Arial" w:hint="cs"/>
          <w:rtl/>
        </w:rPr>
        <w:t>ואחר הדברים האלה, א</w:t>
      </w:r>
      <w:r w:rsidR="006526FE" w:rsidRPr="006526FE">
        <w:rPr>
          <w:rFonts w:ascii="Arial" w:eastAsia="Calibri" w:hAnsi="Arial" w:hint="cs"/>
          <w:rtl/>
        </w:rPr>
        <w:t>ינני יכול לסיים החלטתי בדחיית רשות הערעור</w:t>
      </w:r>
      <w:r w:rsidR="006526FE">
        <w:rPr>
          <w:rFonts w:ascii="Arial" w:eastAsia="Calibri" w:hAnsi="Arial" w:hint="cs"/>
          <w:rtl/>
        </w:rPr>
        <w:t xml:space="preserve"> וזהו</w:t>
      </w:r>
      <w:r w:rsidR="006526FE" w:rsidRPr="006526FE">
        <w:rPr>
          <w:rFonts w:ascii="Arial" w:eastAsia="Calibri" w:hAnsi="Arial" w:hint="cs"/>
          <w:rtl/>
        </w:rPr>
        <w:t xml:space="preserve">; </w:t>
      </w:r>
      <w:r w:rsidR="00DF165B" w:rsidRPr="006526FE">
        <w:rPr>
          <w:rFonts w:ascii="Arial" w:eastAsia="Calibri" w:hAnsi="Arial" w:hint="cs"/>
          <w:rtl/>
        </w:rPr>
        <w:t xml:space="preserve">בהינתן שהחלטתו של בימ"ש קמא מנומקת היטב, ובזיקה להלכה הפסוקה לעניין התערבותה המצומצמת של ערכאת הערעור בהחלטות למזונות זמניים, בפרט </w:t>
      </w:r>
      <w:r>
        <w:rPr>
          <w:rFonts w:ascii="Arial" w:eastAsia="Calibri" w:hAnsi="Arial" w:hint="cs"/>
          <w:rtl/>
        </w:rPr>
        <w:t>ה</w:t>
      </w:r>
      <w:r w:rsidR="00DF165B" w:rsidRPr="006526FE">
        <w:rPr>
          <w:rFonts w:ascii="Arial" w:eastAsia="Calibri" w:hAnsi="Arial" w:hint="cs"/>
          <w:rtl/>
        </w:rPr>
        <w:t xml:space="preserve">החלטה </w:t>
      </w:r>
      <w:r>
        <w:rPr>
          <w:rFonts w:ascii="Arial" w:eastAsia="Calibri" w:hAnsi="Arial" w:hint="cs"/>
          <w:rtl/>
        </w:rPr>
        <w:t xml:space="preserve">בנידונינו </w:t>
      </w:r>
      <w:r w:rsidR="00DF165B" w:rsidRPr="006526FE">
        <w:rPr>
          <w:rFonts w:ascii="Arial" w:eastAsia="Calibri" w:hAnsi="Arial" w:hint="cs"/>
          <w:rtl/>
        </w:rPr>
        <w:t>שהינה מנומקת, מפורטת, שניתנה לאחר קיום דיון</w:t>
      </w:r>
      <w:r w:rsidR="00A073BF">
        <w:rPr>
          <w:rFonts w:ascii="Arial" w:eastAsia="Calibri" w:hAnsi="Arial" w:hint="cs"/>
          <w:rtl/>
        </w:rPr>
        <w:t xml:space="preserve"> ושמיעת הצדדים באופן פרונטלי</w:t>
      </w:r>
      <w:r w:rsidR="00DF165B" w:rsidRPr="006526FE">
        <w:rPr>
          <w:rFonts w:ascii="Arial" w:eastAsia="Calibri" w:hAnsi="Arial" w:hint="cs"/>
          <w:rtl/>
        </w:rPr>
        <w:t xml:space="preserve">, </w:t>
      </w:r>
      <w:r w:rsidR="00DF165B" w:rsidRPr="006526FE">
        <w:rPr>
          <w:rFonts w:ascii="Arial" w:eastAsia="Calibri" w:hAnsi="Arial" w:hint="cs"/>
          <w:b/>
          <w:bCs/>
          <w:rtl/>
        </w:rPr>
        <w:lastRenderedPageBreak/>
        <w:t>למעשה לא היה כל מקום להגשת בקשת רשות ערעור זו, שסיכוייה בעת הגשתה היו קלושים אם בכלל</w:t>
      </w:r>
      <w:r w:rsidR="005828CC" w:rsidRPr="006526FE">
        <w:rPr>
          <w:rFonts w:ascii="Arial" w:eastAsia="Calibri" w:hAnsi="Arial" w:hint="cs"/>
          <w:b/>
          <w:bCs/>
          <w:rtl/>
        </w:rPr>
        <w:t>.</w:t>
      </w:r>
      <w:r w:rsidR="00DF165B" w:rsidRPr="006526FE">
        <w:rPr>
          <w:rFonts w:ascii="Arial" w:eastAsia="Calibri" w:hAnsi="Arial" w:hint="cs"/>
          <w:rtl/>
        </w:rPr>
        <w:t xml:space="preserve"> </w:t>
      </w:r>
    </w:p>
    <w:p w:rsidR="00B15165" w:rsidRDefault="00B15165" w:rsidP="00E3046E">
      <w:pPr>
        <w:spacing w:line="360" w:lineRule="auto"/>
        <w:ind w:left="720"/>
        <w:jc w:val="both"/>
        <w:rPr>
          <w:rFonts w:ascii="Arial" w:eastAsia="Calibri" w:hAnsi="Arial"/>
          <w:rtl/>
        </w:rPr>
      </w:pPr>
      <w:r>
        <w:rPr>
          <w:rFonts w:ascii="Arial" w:eastAsia="Calibri" w:hAnsi="Arial" w:hint="cs"/>
          <w:rtl/>
        </w:rPr>
        <w:t xml:space="preserve">ואכן שאלתי </w:t>
      </w:r>
      <w:r w:rsidR="00E3046E">
        <w:rPr>
          <w:rFonts w:ascii="Arial" w:eastAsia="Calibri" w:hAnsi="Arial" w:hint="cs"/>
          <w:rtl/>
        </w:rPr>
        <w:t xml:space="preserve">את </w:t>
      </w:r>
      <w:r>
        <w:rPr>
          <w:rFonts w:ascii="Arial" w:eastAsia="Calibri" w:hAnsi="Arial" w:hint="cs"/>
          <w:rtl/>
        </w:rPr>
        <w:t>עצמי</w:t>
      </w:r>
      <w:r w:rsidR="00E3046E">
        <w:rPr>
          <w:rFonts w:ascii="Arial" w:eastAsia="Calibri" w:hAnsi="Arial" w:hint="cs"/>
          <w:rtl/>
        </w:rPr>
        <w:t>,</w:t>
      </w:r>
      <w:r>
        <w:rPr>
          <w:rFonts w:ascii="Arial" w:eastAsia="Calibri" w:hAnsi="Arial" w:hint="cs"/>
          <w:rtl/>
        </w:rPr>
        <w:t xml:space="preserve"> מדוע המבקש, שהינו מיוצג כדבעי בידי בא כוח המכיר היטב את דיני המשפחה וההלכות הפסוקות בעניין </w:t>
      </w:r>
      <w:r w:rsidR="00E3046E">
        <w:rPr>
          <w:rFonts w:ascii="Arial" w:eastAsia="Calibri" w:hAnsi="Arial" w:hint="cs"/>
          <w:rtl/>
        </w:rPr>
        <w:t xml:space="preserve">התערבות ערכאה ערעורית בסוגיית </w:t>
      </w:r>
      <w:r>
        <w:rPr>
          <w:rFonts w:ascii="Arial" w:eastAsia="Calibri" w:hAnsi="Arial" w:hint="cs"/>
          <w:rtl/>
        </w:rPr>
        <w:t>מזונות זמניים</w:t>
      </w:r>
      <w:r w:rsidR="00E3046E">
        <w:rPr>
          <w:rFonts w:ascii="Arial" w:eastAsia="Calibri" w:hAnsi="Arial" w:hint="cs"/>
          <w:rtl/>
        </w:rPr>
        <w:t xml:space="preserve"> שנפסקה בהחלטה כה מפורטת ומנומקת</w:t>
      </w:r>
      <w:r>
        <w:rPr>
          <w:rFonts w:ascii="Arial" w:eastAsia="Calibri" w:hAnsi="Arial" w:hint="cs"/>
          <w:rtl/>
        </w:rPr>
        <w:t xml:space="preserve">, </w:t>
      </w:r>
      <w:r w:rsidR="006526FE">
        <w:rPr>
          <w:rFonts w:ascii="Arial" w:eastAsia="Calibri" w:hAnsi="Arial" w:hint="cs"/>
          <w:rtl/>
        </w:rPr>
        <w:t xml:space="preserve">הגיש בקשת רשות ערעור זו שסיכוייה היו מלכתחילה קלושים אם בכלל, </w:t>
      </w:r>
      <w:r>
        <w:rPr>
          <w:rFonts w:ascii="Arial" w:eastAsia="Calibri" w:hAnsi="Arial" w:hint="cs"/>
          <w:rtl/>
        </w:rPr>
        <w:t>ו</w:t>
      </w:r>
      <w:r w:rsidR="006526FE">
        <w:rPr>
          <w:rFonts w:ascii="Arial" w:eastAsia="Calibri" w:hAnsi="Arial" w:hint="cs"/>
          <w:rtl/>
        </w:rPr>
        <w:t xml:space="preserve">דומה שהתשובה לכך נמצאת בדברי בימ"ש </w:t>
      </w:r>
      <w:r w:rsidR="00E3046E">
        <w:rPr>
          <w:rFonts w:ascii="Arial" w:eastAsia="Calibri" w:hAnsi="Arial" w:hint="cs"/>
          <w:rtl/>
        </w:rPr>
        <w:t xml:space="preserve">קמא </w:t>
      </w:r>
      <w:r w:rsidR="006526FE">
        <w:rPr>
          <w:rFonts w:ascii="Arial" w:eastAsia="Calibri" w:hAnsi="Arial" w:hint="cs"/>
          <w:rtl/>
        </w:rPr>
        <w:t xml:space="preserve">בסעיפים 11-12 להחלטתו </w:t>
      </w:r>
      <w:r w:rsidR="006526FE">
        <w:rPr>
          <w:rFonts w:ascii="Arial" w:eastAsia="Calibri" w:hAnsi="Arial"/>
          <w:rtl/>
        </w:rPr>
        <w:t>–</w:t>
      </w:r>
      <w:r w:rsidR="006526FE">
        <w:rPr>
          <w:rFonts w:ascii="Arial" w:eastAsia="Calibri" w:hAnsi="Arial" w:hint="cs"/>
          <w:rtl/>
        </w:rPr>
        <w:t xml:space="preserve"> </w:t>
      </w:r>
      <w:r w:rsidR="006526FE" w:rsidRPr="00A073BF">
        <w:rPr>
          <w:rFonts w:ascii="Arial" w:eastAsia="Calibri" w:hAnsi="Arial" w:hint="cs"/>
          <w:b/>
          <w:bCs/>
          <w:rtl/>
        </w:rPr>
        <w:t xml:space="preserve">וטוב שראה לנכון בימ"ש קמא לציין זאת בהחלטתו, על מנת שערכאת הערעור תהא מודעת </w:t>
      </w:r>
      <w:r w:rsidR="006526FE" w:rsidRPr="00DF3B41">
        <w:rPr>
          <w:rFonts w:ascii="Arial" w:eastAsia="Calibri" w:hAnsi="Arial" w:hint="cs"/>
          <w:b/>
          <w:bCs/>
          <w:u w:val="single"/>
          <w:rtl/>
        </w:rPr>
        <w:t>להתרשמותו</w:t>
      </w:r>
      <w:r w:rsidR="006526FE" w:rsidRPr="00A073BF">
        <w:rPr>
          <w:rFonts w:ascii="Arial" w:eastAsia="Calibri" w:hAnsi="Arial" w:hint="cs"/>
          <w:b/>
          <w:bCs/>
          <w:rtl/>
        </w:rPr>
        <w:t xml:space="preserve"> ז</w:t>
      </w:r>
      <w:r w:rsidR="005456E2" w:rsidRPr="00A073BF">
        <w:rPr>
          <w:rFonts w:ascii="Arial" w:eastAsia="Calibri" w:hAnsi="Arial" w:hint="cs"/>
          <w:b/>
          <w:bCs/>
          <w:rtl/>
        </w:rPr>
        <w:t>ו</w:t>
      </w:r>
      <w:r w:rsidR="006526FE" w:rsidRPr="00A073BF">
        <w:rPr>
          <w:rFonts w:ascii="Arial" w:eastAsia="Calibri" w:hAnsi="Arial" w:hint="cs"/>
          <w:b/>
          <w:bCs/>
          <w:rtl/>
        </w:rPr>
        <w:t xml:space="preserve"> של בימ"ש קמא</w:t>
      </w:r>
      <w:r w:rsidR="005456E2">
        <w:rPr>
          <w:rFonts w:ascii="Arial" w:eastAsia="Calibri" w:hAnsi="Arial" w:hint="cs"/>
          <w:rtl/>
        </w:rPr>
        <w:t>:</w:t>
      </w:r>
    </w:p>
    <w:p w:rsidR="00B15165" w:rsidRDefault="00B15165" w:rsidP="00B15165">
      <w:pPr>
        <w:spacing w:line="360" w:lineRule="auto"/>
        <w:ind w:left="720"/>
        <w:jc w:val="both"/>
        <w:rPr>
          <w:rFonts w:ascii="Arial" w:eastAsia="Calibri" w:hAnsi="Arial"/>
          <w:rtl/>
        </w:rPr>
      </w:pPr>
      <w:r w:rsidRPr="00C40266">
        <w:rPr>
          <w:rFonts w:ascii="Arial" w:eastAsia="Calibri" w:hAnsi="Arial"/>
          <w:noProof/>
          <w:rtl/>
        </w:rPr>
        <w:drawing>
          <wp:inline distT="0" distB="0" distL="0" distR="0" wp14:anchorId="2F92EBA0" wp14:editId="32662F25">
            <wp:extent cx="4669030" cy="1962150"/>
            <wp:effectExtent l="0" t="0" r="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33844" cy="1989388"/>
                    </a:xfrm>
                    <a:prstGeom prst="rect">
                      <a:avLst/>
                    </a:prstGeom>
                  </pic:spPr>
                </pic:pic>
              </a:graphicData>
            </a:graphic>
          </wp:inline>
        </w:drawing>
      </w:r>
    </w:p>
    <w:p w:rsidR="00DF3B41" w:rsidRPr="00DF3B41" w:rsidRDefault="00DF3B41" w:rsidP="00DF3B41">
      <w:pPr>
        <w:pStyle w:val="affffc"/>
        <w:spacing w:line="360" w:lineRule="auto"/>
        <w:jc w:val="both"/>
        <w:rPr>
          <w:rFonts w:ascii="Arial" w:eastAsia="Calibri" w:hAnsi="Arial"/>
          <w:b/>
          <w:bCs/>
          <w:rtl/>
        </w:rPr>
      </w:pPr>
      <w:r w:rsidRPr="00DF3B41">
        <w:rPr>
          <w:rFonts w:ascii="Arial" w:eastAsia="Calibri" w:hAnsi="Arial" w:hint="cs"/>
          <w:b/>
          <w:bCs/>
          <w:rtl/>
        </w:rPr>
        <w:t xml:space="preserve">סוגיית המזונות הזמניים, מהווה איפוא כלי ניגוח </w:t>
      </w:r>
      <w:r w:rsidRPr="00DF3B41">
        <w:rPr>
          <w:rFonts w:ascii="Arial" w:eastAsia="Calibri" w:hAnsi="Arial"/>
          <w:rtl/>
        </w:rPr>
        <w:t>–</w:t>
      </w:r>
      <w:r w:rsidRPr="00DF3B41">
        <w:rPr>
          <w:rFonts w:ascii="Arial" w:eastAsia="Calibri" w:hAnsi="Arial" w:hint="cs"/>
          <w:rtl/>
        </w:rPr>
        <w:t xml:space="preserve"> וד"ל</w:t>
      </w:r>
      <w:r w:rsidRPr="00DF3B41">
        <w:rPr>
          <w:rFonts w:ascii="Arial" w:eastAsia="Calibri" w:hAnsi="Arial" w:hint="cs"/>
          <w:b/>
          <w:bCs/>
          <w:rtl/>
        </w:rPr>
        <w:t>.</w:t>
      </w:r>
    </w:p>
    <w:p w:rsidR="00DF3B41" w:rsidRDefault="00DF3B41" w:rsidP="005456E2">
      <w:pPr>
        <w:pStyle w:val="affffc"/>
        <w:spacing w:line="360" w:lineRule="auto"/>
        <w:jc w:val="both"/>
        <w:rPr>
          <w:rFonts w:ascii="Arial" w:eastAsia="Calibri" w:hAnsi="Arial"/>
          <w:rtl/>
        </w:rPr>
      </w:pPr>
    </w:p>
    <w:p w:rsidR="0096306F" w:rsidRDefault="005828CC" w:rsidP="001505B3">
      <w:pPr>
        <w:pStyle w:val="affffc"/>
        <w:spacing w:line="360" w:lineRule="auto"/>
        <w:jc w:val="both"/>
        <w:rPr>
          <w:rFonts w:ascii="Arial" w:eastAsia="Calibri" w:hAnsi="Arial"/>
          <w:rtl/>
        </w:rPr>
      </w:pPr>
      <w:r>
        <w:rPr>
          <w:rFonts w:ascii="Arial" w:eastAsia="Calibri" w:hAnsi="Arial" w:hint="cs"/>
          <w:rtl/>
        </w:rPr>
        <w:t>כך או כך, המ</w:t>
      </w:r>
      <w:r w:rsidR="00DF165B">
        <w:rPr>
          <w:rFonts w:ascii="Arial" w:eastAsia="Calibri" w:hAnsi="Arial" w:hint="cs"/>
          <w:rtl/>
        </w:rPr>
        <w:t>ערער</w:t>
      </w:r>
      <w:r>
        <w:rPr>
          <w:rFonts w:ascii="Arial" w:eastAsia="Calibri" w:hAnsi="Arial" w:hint="cs"/>
          <w:rtl/>
        </w:rPr>
        <w:t>, בהגישו בקשת רשות ערעור זו שמראש סיכוייה היו קלושים אם בכלל,</w:t>
      </w:r>
      <w:r w:rsidR="00DF165B">
        <w:rPr>
          <w:rFonts w:ascii="Arial" w:eastAsia="Calibri" w:hAnsi="Arial" w:hint="cs"/>
          <w:rtl/>
        </w:rPr>
        <w:t xml:space="preserve"> </w:t>
      </w:r>
      <w:r w:rsidR="00DF165B" w:rsidRPr="005456E2">
        <w:rPr>
          <w:rFonts w:ascii="Arial" w:eastAsia="Calibri" w:hAnsi="Arial" w:hint="cs"/>
          <w:b/>
          <w:bCs/>
          <w:rtl/>
        </w:rPr>
        <w:t xml:space="preserve">גרם לבזבוז זמן שיפוטי </w:t>
      </w:r>
      <w:r w:rsidR="001505B3">
        <w:rPr>
          <w:rFonts w:ascii="Arial" w:eastAsia="Calibri" w:hAnsi="Arial" w:hint="cs"/>
          <w:b/>
          <w:bCs/>
          <w:rtl/>
        </w:rPr>
        <w:t>יקר</w:t>
      </w:r>
      <w:r w:rsidR="00DF165B">
        <w:rPr>
          <w:rFonts w:ascii="Arial" w:eastAsia="Calibri" w:hAnsi="Arial" w:hint="cs"/>
          <w:rtl/>
        </w:rPr>
        <w:t>, שהיה יכול ל</w:t>
      </w:r>
      <w:r w:rsidR="001505B3">
        <w:rPr>
          <w:rFonts w:ascii="Arial" w:eastAsia="Calibri" w:hAnsi="Arial" w:hint="cs"/>
          <w:rtl/>
        </w:rPr>
        <w:t>היות מוקדש</w:t>
      </w:r>
      <w:r w:rsidR="00DF165B">
        <w:rPr>
          <w:rFonts w:ascii="Arial" w:eastAsia="Calibri" w:hAnsi="Arial" w:hint="cs"/>
          <w:rtl/>
        </w:rPr>
        <w:t xml:space="preserve"> למתדיינים אחרים ה</w:t>
      </w:r>
      <w:r w:rsidR="00B15165">
        <w:rPr>
          <w:rFonts w:ascii="Arial" w:eastAsia="Calibri" w:hAnsi="Arial" w:hint="cs"/>
          <w:rtl/>
        </w:rPr>
        <w:t>זקוקים לזמן שיפוטי זה, ועל כן</w:t>
      </w:r>
      <w:r w:rsidR="005456E2">
        <w:rPr>
          <w:rFonts w:ascii="Arial" w:eastAsia="Calibri" w:hAnsi="Arial" w:hint="cs"/>
          <w:rtl/>
        </w:rPr>
        <w:t xml:space="preserve"> ו</w:t>
      </w:r>
      <w:r w:rsidR="00B15165">
        <w:rPr>
          <w:rFonts w:ascii="Arial" w:eastAsia="Calibri" w:hAnsi="Arial" w:hint="cs"/>
          <w:rtl/>
        </w:rPr>
        <w:t>למרות שלא נדרשה תשובה מהמשיבה ו</w:t>
      </w:r>
      <w:r w:rsidR="005456E2">
        <w:rPr>
          <w:rFonts w:ascii="Arial" w:eastAsia="Calibri" w:hAnsi="Arial" w:hint="cs"/>
          <w:rtl/>
        </w:rPr>
        <w:t xml:space="preserve">לפיכך </w:t>
      </w:r>
      <w:r w:rsidR="00B15165">
        <w:rPr>
          <w:rFonts w:ascii="Arial" w:eastAsia="Calibri" w:hAnsi="Arial" w:hint="cs"/>
          <w:rtl/>
        </w:rPr>
        <w:t xml:space="preserve">אין מקום לשפותה על הוצאות שלא היו לה, </w:t>
      </w:r>
      <w:r w:rsidR="00B15165" w:rsidRPr="005456E2">
        <w:rPr>
          <w:rFonts w:ascii="Arial" w:eastAsia="Calibri" w:hAnsi="Arial" w:hint="cs"/>
          <w:b/>
          <w:bCs/>
          <w:rtl/>
        </w:rPr>
        <w:t>מוצא אני לנכון לחייב את המבקש בהוצאות לטובת אוצר המדינה בסך 1,500 ₪</w:t>
      </w:r>
      <w:r w:rsidR="00B15165">
        <w:rPr>
          <w:rFonts w:ascii="Arial" w:eastAsia="Calibri" w:hAnsi="Arial" w:hint="cs"/>
          <w:rtl/>
        </w:rPr>
        <w:t xml:space="preserve">, שינוכו מהעירבון ככל שהופקד </w:t>
      </w:r>
      <w:r w:rsidR="00B15165">
        <w:rPr>
          <w:rFonts w:ascii="David" w:eastAsia="Calibri" w:hAnsi="David" w:hint="cs"/>
          <w:noProof/>
          <w:rtl/>
        </w:rPr>
        <w:t>והיתרה ת</w:t>
      </w:r>
      <w:r w:rsidR="00B15165" w:rsidRPr="005118FD">
        <w:rPr>
          <w:rFonts w:ascii="David" w:eastAsia="Calibri" w:hAnsi="David"/>
          <w:noProof/>
          <w:rtl/>
        </w:rPr>
        <w:t>וחזר למפקיד באמצעות ב"כ.</w:t>
      </w:r>
      <w:r w:rsidR="00DF165B">
        <w:rPr>
          <w:rFonts w:ascii="Arial" w:eastAsia="Calibri" w:hAnsi="Arial" w:hint="cs"/>
          <w:rtl/>
        </w:rPr>
        <w:t xml:space="preserve"> </w:t>
      </w:r>
    </w:p>
    <w:p w:rsidR="00DF3B41" w:rsidRPr="00DF3B41" w:rsidRDefault="00DF3B41" w:rsidP="005456E2">
      <w:pPr>
        <w:pStyle w:val="affffc"/>
        <w:spacing w:line="360" w:lineRule="auto"/>
        <w:jc w:val="both"/>
        <w:rPr>
          <w:rFonts w:ascii="Arial" w:eastAsia="Calibri" w:hAnsi="Arial"/>
          <w:b/>
          <w:bCs/>
          <w:rtl/>
        </w:rPr>
      </w:pPr>
      <w:r w:rsidRPr="00DF3B41">
        <w:rPr>
          <w:rFonts w:ascii="Arial" w:eastAsia="Calibri" w:hAnsi="Arial" w:hint="cs"/>
          <w:b/>
          <w:bCs/>
          <w:rtl/>
        </w:rPr>
        <w:t>מי שחפץ להשתמש בערכאה הערעורית להמשך כלי הניגוח, יידע שיש לכך מחיר!</w:t>
      </w:r>
    </w:p>
    <w:p w:rsidR="00DF165B" w:rsidRDefault="00DF165B" w:rsidP="00835CDF">
      <w:pPr>
        <w:spacing w:line="360" w:lineRule="auto"/>
        <w:ind w:left="84"/>
        <w:jc w:val="both"/>
        <w:rPr>
          <w:rFonts w:ascii="Arial" w:eastAsia="Calibri" w:hAnsi="Arial"/>
          <w:rtl/>
        </w:rPr>
      </w:pPr>
    </w:p>
    <w:p w:rsidR="001505B3" w:rsidRPr="00835CDF" w:rsidRDefault="001505B3" w:rsidP="00835CDF">
      <w:pPr>
        <w:spacing w:line="360" w:lineRule="auto"/>
        <w:ind w:left="84"/>
        <w:jc w:val="both"/>
        <w:rPr>
          <w:rFonts w:ascii="Arial" w:eastAsia="Calibri" w:hAnsi="Arial"/>
          <w:rtl/>
        </w:rPr>
      </w:pPr>
    </w:p>
    <w:p w:rsidR="0096306F" w:rsidRPr="00D348E1" w:rsidRDefault="0096306F" w:rsidP="00D348E1">
      <w:pPr>
        <w:spacing w:after="120" w:line="360" w:lineRule="auto"/>
        <w:jc w:val="both"/>
        <w:rPr>
          <w:rFonts w:ascii="David" w:hAnsi="David"/>
          <w:b/>
          <w:bCs/>
          <w:noProof/>
          <w:u w:val="single"/>
        </w:rPr>
      </w:pPr>
      <w:r w:rsidRPr="00D348E1">
        <w:rPr>
          <w:rFonts w:ascii="David" w:hAnsi="David"/>
          <w:b/>
          <w:bCs/>
          <w:noProof/>
          <w:u w:val="single"/>
          <w:rtl/>
        </w:rPr>
        <w:t>סוף דבר</w:t>
      </w:r>
    </w:p>
    <w:p w:rsidR="00694556" w:rsidRPr="00C770E3" w:rsidRDefault="005828CC" w:rsidP="005828CC">
      <w:pPr>
        <w:spacing w:after="120" w:line="360" w:lineRule="auto"/>
        <w:jc w:val="both"/>
        <w:rPr>
          <w:rFonts w:ascii="Arial" w:hAnsi="Arial"/>
          <w:rtl/>
        </w:rPr>
      </w:pPr>
      <w:r>
        <w:rPr>
          <w:rFonts w:ascii="David" w:hAnsi="David" w:hint="cs"/>
          <w:b/>
          <w:bCs/>
          <w:noProof/>
          <w:rtl/>
        </w:rPr>
        <w:t>בקשת רשות הערעור נדחית, תוך חיוב המערער בהוצאות לטובת אוצר המדינה בסך 1,500 ₪.</w:t>
      </w:r>
    </w:p>
    <w:p w:rsidR="00694556" w:rsidRDefault="00694556">
      <w:pPr>
        <w:spacing w:line="360" w:lineRule="auto"/>
        <w:jc w:val="both"/>
        <w:rPr>
          <w:rFonts w:ascii="Arial" w:hAnsi="Arial"/>
          <w:rtl/>
        </w:rPr>
      </w:pPr>
    </w:p>
    <w:p w:rsidR="0065564E" w:rsidRDefault="0065564E" w:rsidP="0065564E">
      <w:pPr>
        <w:spacing w:after="120" w:line="360" w:lineRule="auto"/>
        <w:jc w:val="both"/>
        <w:rPr>
          <w:rFonts w:ascii="Arial" w:hAnsi="Arial"/>
        </w:rPr>
      </w:pPr>
      <w:r>
        <w:rPr>
          <w:rFonts w:ascii="David" w:hAnsi="David"/>
          <w:b/>
          <w:bCs/>
          <w:rtl/>
        </w:rPr>
        <w:t>פסק דין זה מותר לפרסום תוך השמטת שמות הצדדים וכל פרט מזהה אחר.</w:t>
      </w:r>
    </w:p>
    <w:p w:rsidR="00694556" w:rsidRPr="00C770E3" w:rsidRDefault="00694556">
      <w:pPr>
        <w:spacing w:line="360" w:lineRule="auto"/>
        <w:jc w:val="both"/>
        <w:rPr>
          <w:rFonts w:ascii="Arial" w:hAnsi="Arial"/>
          <w:rtl/>
        </w:rPr>
      </w:pPr>
    </w:p>
    <w:p w:rsidR="00694556" w:rsidRDefault="0043502B" w:rsidP="00860102">
      <w:pPr>
        <w:spacing w:line="360" w:lineRule="auto"/>
        <w:jc w:val="both"/>
        <w:rPr>
          <w:rFonts w:ascii="Arial" w:hAnsi="Arial"/>
          <w:rtl/>
        </w:rPr>
      </w:pPr>
      <w:r>
        <w:rPr>
          <w:rFonts w:ascii="Arial" w:hAnsi="Arial"/>
          <w:rtl/>
        </w:rPr>
        <w:t>נית</w:t>
      </w:r>
      <w:r w:rsidR="00860102">
        <w:rPr>
          <w:rFonts w:ascii="Arial" w:hAnsi="Arial" w:hint="cs"/>
          <w:rtl/>
        </w:rPr>
        <w:t>ן</w:t>
      </w:r>
      <w:r w:rsidR="00005C8B">
        <w:rPr>
          <w:rFonts w:ascii="Arial" w:hAnsi="Arial"/>
          <w:rtl/>
        </w:rPr>
        <w:t xml:space="preserve"> היום, </w:t>
      </w:r>
      <w:sdt>
        <w:sdtPr>
          <w:rPr>
            <w:rtl/>
          </w:rPr>
          <w:alias w:val="1455"/>
          <w:tag w:val="1455"/>
          <w:id w:val="1666048407"/>
          <w:text w:multiLine="1"/>
        </w:sdtPr>
        <w:sdtEndPr/>
        <w:sdtContent>
          <w:r>
            <w:rPr>
              <w:rFonts w:ascii="Arial" w:hAnsi="Arial"/>
              <w:rtl/>
            </w:rPr>
            <w:t>ג' תמוז תשפ"ג</w:t>
          </w:r>
        </w:sdtContent>
      </w:sdt>
      <w:r w:rsidR="00005C8B">
        <w:rPr>
          <w:rFonts w:ascii="Arial" w:hAnsi="Arial"/>
          <w:rtl/>
        </w:rPr>
        <w:t xml:space="preserve">, </w:t>
      </w:r>
      <w:sdt>
        <w:sdtPr>
          <w:rPr>
            <w:rtl/>
          </w:rPr>
          <w:alias w:val="1456"/>
          <w:tag w:val="1456"/>
          <w:id w:val="-1186288958"/>
          <w:text w:multiLine="1"/>
        </w:sdtPr>
        <w:sdtEndPr/>
        <w:sdtContent>
          <w:r>
            <w:rPr>
              <w:rFonts w:ascii="Arial" w:hAnsi="Arial"/>
              <w:rtl/>
            </w:rPr>
            <w:t>22 יוני 2023</w:t>
          </w:r>
        </w:sdtContent>
      </w:sdt>
      <w:r w:rsidR="00005C8B">
        <w:rPr>
          <w:rFonts w:ascii="Arial" w:hAnsi="Arial"/>
          <w:rtl/>
        </w:rPr>
        <w:t>, בהעדר הצדדים.</w:t>
      </w:r>
    </w:p>
    <w:p w:rsidR="00C43648" w:rsidRDefault="0086526F"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lastRenderedPageBreak/>
        <w:tab/>
      </w:r>
      <w:r>
        <w:rPr>
          <w:rFonts w:hint="cs"/>
          <w:rtl/>
        </w:rPr>
        <w:tab/>
      </w:r>
      <w:r>
        <w:rPr>
          <w:rFonts w:hint="cs"/>
          <w:rtl/>
        </w:rPr>
        <w:tab/>
      </w:r>
      <w:r>
        <w:rPr>
          <w:rFonts w:hint="cs"/>
          <w:rtl/>
        </w:rPr>
        <w:tab/>
        <w:t xml:space="preserve">        </w:t>
      </w:r>
      <w:sdt>
        <w:sdtPr>
          <w:rPr>
            <w:rtl/>
          </w:rPr>
          <w:alias w:val="MergeField"/>
          <w:tag w:val="1237"/>
          <w:id w:val="-26031739"/>
        </w:sdtPr>
        <w:sdtEndPr/>
        <w:sdtContent>
          <w:r w:rsidR="004524AD">
            <w:rPr>
              <w:noProof/>
            </w:rPr>
            <w:drawing>
              <wp:inline distT="0" distB="0" distL="0" distR="0" wp14:editId="50D07946">
                <wp:extent cx="1085850" cy="1209675"/>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1085850" cy="1209675"/>
                        </a:xfrm>
                        <a:prstGeom prst="rect">
                          <a:avLst/>
                        </a:prstGeom>
                      </pic:spPr>
                    </pic:pic>
                  </a:graphicData>
                </a:graphic>
              </wp:inline>
            </w:drawing>
          </w:r>
        </w:sdtContent>
      </w:sdt>
    </w:p>
    <w:p w:rsidR="00694556" w:rsidRDefault="00694556" w:rsidP="00BD6531">
      <w:pPr>
        <w:tabs>
          <w:tab w:val="left" w:pos="2553"/>
        </w:tabs>
        <w:rPr>
          <w:rFonts w:ascii="Arial" w:hAnsi="Arial"/>
          <w:rtl/>
        </w:rPr>
      </w:pPr>
    </w:p>
    <w:sectPr w:rsidR="00694556" w:rsidSect="005456E2">
      <w:headerReference w:type="even" r:id="rId12"/>
      <w:headerReference w:type="default" r:id="rId13"/>
      <w:footerReference w:type="even" r:id="rId14"/>
      <w:footerReference w:type="default" r:id="rId15"/>
      <w:headerReference w:type="first" r:id="rId16"/>
      <w:footerReference w:type="first" r:id="rId17"/>
      <w:pgSz w:w="11907" w:h="16840" w:code="9"/>
      <w:pgMar w:top="1440" w:right="1800" w:bottom="284"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4F52" w:rsidRDefault="006A4F52">
      <w:r>
        <w:separator/>
      </w:r>
    </w:p>
  </w:endnote>
  <w:endnote w:type="continuationSeparator" w:id="0">
    <w:p w:rsidR="006A4F52" w:rsidRDefault="006A4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haroni">
    <w:panose1 w:val="02010803020104030203"/>
    <w:charset w:val="00"/>
    <w:family w:val="auto"/>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8AB" w:rsidRDefault="00CF48AB">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6"/>
      <w:jc w:val="center"/>
      <w:rPr>
        <w:rStyle w:val="ae"/>
      </w:rPr>
    </w:pPr>
    <w:r w:rsidRPr="004E6E3C">
      <w:rPr>
        <w:rStyle w:val="ae"/>
        <w:rFonts w:cs="Times New Roman"/>
      </w:rPr>
      <w:fldChar w:fldCharType="begin"/>
    </w:r>
    <w:r w:rsidR="00005C8B" w:rsidRPr="004E6E3C">
      <w:rPr>
        <w:rStyle w:val="ae"/>
        <w:rFonts w:cs="Times New Roman"/>
      </w:rPr>
      <w:instrText xml:space="preserve"> PAGE </w:instrText>
    </w:r>
    <w:r w:rsidRPr="004E6E3C">
      <w:rPr>
        <w:rStyle w:val="ae"/>
        <w:rFonts w:cs="Times New Roman"/>
      </w:rPr>
      <w:fldChar w:fldCharType="separate"/>
    </w:r>
    <w:r w:rsidR="0086526F">
      <w:rPr>
        <w:rStyle w:val="ae"/>
        <w:rFonts w:cs="Times New Roman"/>
        <w:noProof/>
        <w:rtl/>
      </w:rPr>
      <w:t>1</w:t>
    </w:r>
    <w:r w:rsidRPr="004E6E3C">
      <w:rPr>
        <w:rStyle w:val="ae"/>
        <w:rFonts w:cs="Times New Roman"/>
      </w:rPr>
      <w:fldChar w:fldCharType="end"/>
    </w:r>
    <w:r w:rsidR="00005C8B" w:rsidRPr="004E6E3C">
      <w:rPr>
        <w:rStyle w:val="ae"/>
        <w:rFonts w:hint="cs"/>
        <w:rtl/>
      </w:rPr>
      <w:t xml:space="preserve"> מתוך </w:t>
    </w:r>
    <w:r w:rsidRPr="004E6E3C">
      <w:rPr>
        <w:rStyle w:val="ae"/>
      </w:rPr>
      <w:fldChar w:fldCharType="begin"/>
    </w:r>
    <w:r w:rsidR="00005C8B" w:rsidRPr="004E6E3C">
      <w:rPr>
        <w:rStyle w:val="ae"/>
      </w:rPr>
      <w:instrText xml:space="preserve"> NUMPAGES </w:instrText>
    </w:r>
    <w:r w:rsidRPr="004E6E3C">
      <w:rPr>
        <w:rStyle w:val="ae"/>
      </w:rPr>
      <w:fldChar w:fldCharType="separate"/>
    </w:r>
    <w:r w:rsidR="0086526F">
      <w:rPr>
        <w:rStyle w:val="ae"/>
        <w:noProof/>
        <w:rtl/>
      </w:rPr>
      <w:t>6</w:t>
    </w:r>
    <w:r w:rsidRPr="004E6E3C">
      <w:rPr>
        <w:rStyle w:val="a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8AB" w:rsidRDefault="00CF48A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4F52" w:rsidRDefault="006A4F52">
      <w:r>
        <w:separator/>
      </w:r>
    </w:p>
  </w:footnote>
  <w:footnote w:type="continuationSeparator" w:id="0">
    <w:p w:rsidR="006A4F52" w:rsidRDefault="006A4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8AB" w:rsidRDefault="00CF48AB">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5"/>
      <w:jc w:val="center"/>
      <w:rPr>
        <w:rFonts w:cs="FrankRuehl"/>
        <w:sz w:val="28"/>
        <w:szCs w:val="28"/>
        <w:rtl/>
      </w:rPr>
    </w:pPr>
    <w:r>
      <w:rPr>
        <w:rFonts w:cs="FrankRuehl"/>
        <w:noProof/>
        <w:sz w:val="28"/>
        <w:szCs w:val="28"/>
      </w:rPr>
      <w:drawing>
        <wp:inline distT="0" distB="0" distL="0" distR="0" wp14:anchorId="2535346B" wp14:editId="0528C5E4">
          <wp:extent cx="374015" cy="469265"/>
          <wp:effectExtent l="0" t="0" r="6985" b="6985"/>
          <wp:docPr id="6"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5"/>
                <w:jc w:val="center"/>
                <w:rPr>
                  <w:rFonts w:ascii="Tahoma" w:hAnsi="Tahoma"/>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sz w:val="26"/>
              <w:szCs w:val="26"/>
              <w:rtl/>
            </w:rPr>
          </w:pPr>
        </w:p>
      </w:tc>
      <w:tc>
        <w:tcPr>
          <w:tcW w:w="3674" w:type="dxa"/>
        </w:tcPr>
        <w:p w:rsidR="00694556" w:rsidRDefault="00694556">
          <w:pPr>
            <w:pStyle w:val="a5"/>
            <w:jc w:val="right"/>
            <w:rPr>
              <w:b/>
              <w:bCs/>
              <w:sz w:val="26"/>
              <w:szCs w:val="26"/>
              <w:rtl/>
            </w:rPr>
          </w:pPr>
        </w:p>
      </w:tc>
    </w:tr>
    <w:tr w:rsidR="00694556">
      <w:trPr>
        <w:trHeight w:val="337"/>
        <w:jc w:val="center"/>
      </w:trPr>
      <w:tc>
        <w:tcPr>
          <w:tcW w:w="8721" w:type="dxa"/>
          <w:gridSpan w:val="2"/>
        </w:tcPr>
        <w:p w:rsidR="007D45E3" w:rsidRDefault="0086526F" w:rsidP="006F6162">
          <w:pPr>
            <w:rPr>
              <w:sz w:val="20"/>
              <w:szCs w:val="20"/>
              <w:rtl/>
            </w:rPr>
          </w:pPr>
          <w:sdt>
            <w:sdtPr>
              <w:rPr>
                <w:rtl/>
              </w:rPr>
              <w:alias w:val="1170"/>
              <w:tag w:val="1170"/>
              <w:id w:val="1066377040"/>
              <w:text w:multiLine="1"/>
            </w:sdtPr>
            <w:sdtEndPr/>
            <w:sdtContent>
              <w:r w:rsidR="00B859C5">
                <w:rPr>
                  <w:b/>
                  <w:bCs/>
                  <w:sz w:val="26"/>
                  <w:szCs w:val="26"/>
                  <w:rtl/>
                </w:rPr>
                <w:t>רמ"ש</w:t>
              </w:r>
            </w:sdtContent>
          </w:sdt>
          <w:r w:rsidR="00005C8B">
            <w:rPr>
              <w:b/>
              <w:bCs/>
              <w:sz w:val="26"/>
              <w:szCs w:val="26"/>
              <w:rtl/>
            </w:rPr>
            <w:t xml:space="preserve"> </w:t>
          </w:r>
          <w:sdt>
            <w:sdtPr>
              <w:rPr>
                <w:rtl/>
              </w:rPr>
              <w:alias w:val="1171"/>
              <w:tag w:val="1171"/>
              <w:id w:val="257034231"/>
              <w:text w:multiLine="1"/>
            </w:sdtPr>
            <w:sdtEndPr/>
            <w:sdtContent>
              <w:r w:rsidR="00B859C5">
                <w:rPr>
                  <w:b/>
                  <w:bCs/>
                  <w:sz w:val="26"/>
                  <w:szCs w:val="26"/>
                  <w:rtl/>
                </w:rPr>
                <w:t>51988-06-23</w:t>
              </w:r>
            </w:sdtContent>
          </w:sdt>
          <w:r w:rsidR="00005C8B">
            <w:rPr>
              <w:b/>
              <w:bCs/>
              <w:sz w:val="26"/>
              <w:szCs w:val="26"/>
              <w:rtl/>
            </w:rPr>
            <w:t xml:space="preserve"> </w:t>
          </w:r>
          <w:sdt>
            <w:sdtPr>
              <w:rPr>
                <w:b/>
                <w:bCs/>
                <w:sz w:val="26"/>
                <w:szCs w:val="26"/>
                <w:rtl/>
              </w:rPr>
              <w:alias w:val="3154"/>
              <w:tag w:val="3154"/>
              <w:id w:val="-1285889662"/>
              <w:placeholder>
                <w:docPart w:val="F5EF4663D5094D57BB3FEC6B89CF5C8E"/>
              </w:placeholder>
              <w:text w:multiLine="1"/>
            </w:sdtPr>
            <w:sdtEndPr/>
            <w:sdtContent>
              <w:r w:rsidR="000A701B">
                <w:rPr>
                  <w:b/>
                  <w:bCs/>
                  <w:sz w:val="26"/>
                  <w:szCs w:val="26"/>
                  <w:rtl/>
                </w:rPr>
                <w:t>א</w:t>
              </w:r>
              <w:r w:rsidR="000A701B">
                <w:rPr>
                  <w:rFonts w:hint="cs"/>
                  <w:b/>
                  <w:bCs/>
                  <w:sz w:val="26"/>
                  <w:szCs w:val="26"/>
                  <w:rtl/>
                </w:rPr>
                <w:t>.</w:t>
              </w:r>
              <w:r w:rsidR="000A701B">
                <w:rPr>
                  <w:b/>
                  <w:bCs/>
                  <w:sz w:val="26"/>
                  <w:szCs w:val="26"/>
                  <w:rtl/>
                </w:rPr>
                <w:t xml:space="preserve"> נ' א</w:t>
              </w:r>
              <w:r w:rsidR="000A701B">
                <w:rPr>
                  <w:rFonts w:hint="cs"/>
                  <w:b/>
                  <w:bCs/>
                  <w:sz w:val="26"/>
                  <w:szCs w:val="26"/>
                  <w:rtl/>
                </w:rPr>
                <w:t>'</w:t>
              </w:r>
            </w:sdtContent>
          </w:sdt>
          <w:r w:rsidR="007C2453">
            <w:rPr>
              <w:b/>
              <w:bCs/>
              <w:sz w:val="26"/>
              <w:szCs w:val="26"/>
              <w:rtl/>
            </w:rPr>
            <w:t xml:space="preserve"> </w:t>
          </w:r>
          <w:r w:rsidR="007D45E3">
            <w:rPr>
              <w:rFonts w:hint="cs"/>
              <w:rtl/>
            </w:rPr>
            <w:t xml:space="preserve">                      </w:t>
          </w:r>
          <w:r w:rsidR="007D45E3">
            <w:rPr>
              <w:rFonts w:hint="cs"/>
              <w:sz w:val="20"/>
              <w:szCs w:val="20"/>
              <w:rtl/>
            </w:rPr>
            <w:t xml:space="preserve">                                       </w:t>
          </w:r>
        </w:p>
        <w:p w:rsidR="008D10B2" w:rsidRPr="00E1068A" w:rsidRDefault="008D10B2" w:rsidP="007D45E3">
          <w:pPr>
            <w:rPr>
              <w:sz w:val="20"/>
              <w:szCs w:val="20"/>
              <w:rtl/>
            </w:rPr>
          </w:pPr>
        </w:p>
      </w:tc>
    </w:tr>
  </w:tbl>
  <w:p w:rsidR="00694556" w:rsidRDefault="00005C8B">
    <w:pPr>
      <w:pStyle w:val="a5"/>
      <w:rPr>
        <w:rtl/>
      </w:rPr>
    </w:pPr>
    <w:r>
      <w:rPr>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8AB" w:rsidRDefault="00CF48A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02A158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AE549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7802E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0E240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427846F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A65FA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E4AED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32D10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FE434F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B3C197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2DA07C7B"/>
    <w:multiLevelType w:val="hybridMultilevel"/>
    <w:tmpl w:val="BD420238"/>
    <w:lvl w:ilvl="0" w:tplc="8DFC664A">
      <w:start w:val="1"/>
      <w:numFmt w:val="decimal"/>
      <w:lvlText w:val="%1."/>
      <w:lvlJc w:val="left"/>
      <w:pPr>
        <w:ind w:left="720" w:right="1080" w:hanging="360"/>
      </w:pPr>
    </w:lvl>
    <w:lvl w:ilvl="1" w:tplc="04090019">
      <w:start w:val="1"/>
      <w:numFmt w:val="lowerLetter"/>
      <w:lvlText w:val="%2."/>
      <w:lvlJc w:val="left"/>
      <w:pPr>
        <w:ind w:left="1440" w:right="1800" w:hanging="360"/>
      </w:pPr>
    </w:lvl>
    <w:lvl w:ilvl="2" w:tplc="0409001B">
      <w:start w:val="1"/>
      <w:numFmt w:val="lowerRoman"/>
      <w:lvlText w:val="%3."/>
      <w:lvlJc w:val="right"/>
      <w:pPr>
        <w:ind w:left="2160" w:right="2520" w:hanging="180"/>
      </w:pPr>
    </w:lvl>
    <w:lvl w:ilvl="3" w:tplc="0409000F">
      <w:start w:val="1"/>
      <w:numFmt w:val="decimal"/>
      <w:lvlText w:val="%4."/>
      <w:lvlJc w:val="left"/>
      <w:pPr>
        <w:ind w:left="2880" w:right="3240" w:hanging="360"/>
      </w:pPr>
    </w:lvl>
    <w:lvl w:ilvl="4" w:tplc="04090019">
      <w:start w:val="1"/>
      <w:numFmt w:val="lowerLetter"/>
      <w:lvlText w:val="%5."/>
      <w:lvlJc w:val="left"/>
      <w:pPr>
        <w:ind w:left="3600" w:right="3960" w:hanging="360"/>
      </w:pPr>
    </w:lvl>
    <w:lvl w:ilvl="5" w:tplc="0409001B">
      <w:start w:val="1"/>
      <w:numFmt w:val="lowerRoman"/>
      <w:lvlText w:val="%6."/>
      <w:lvlJc w:val="right"/>
      <w:pPr>
        <w:ind w:left="4320" w:right="4680" w:hanging="180"/>
      </w:pPr>
    </w:lvl>
    <w:lvl w:ilvl="6" w:tplc="0409000F">
      <w:start w:val="1"/>
      <w:numFmt w:val="decimal"/>
      <w:lvlText w:val="%7."/>
      <w:lvlJc w:val="left"/>
      <w:pPr>
        <w:ind w:left="5040" w:right="5400" w:hanging="360"/>
      </w:pPr>
    </w:lvl>
    <w:lvl w:ilvl="7" w:tplc="04090019">
      <w:start w:val="1"/>
      <w:numFmt w:val="lowerLetter"/>
      <w:lvlText w:val="%8."/>
      <w:lvlJc w:val="left"/>
      <w:pPr>
        <w:ind w:left="5760" w:right="6120" w:hanging="360"/>
      </w:pPr>
    </w:lvl>
    <w:lvl w:ilvl="8" w:tplc="0409001B">
      <w:start w:val="1"/>
      <w:numFmt w:val="lowerRoman"/>
      <w:lvlText w:val="%9."/>
      <w:lvlJc w:val="right"/>
      <w:pPr>
        <w:ind w:left="6480" w:right="6840" w:hanging="180"/>
      </w:pPr>
    </w:lvl>
  </w:abstractNum>
  <w:abstractNum w:abstractNumId="11" w15:restartNumberingAfterBreak="0">
    <w:nsid w:val="3EA92CFA"/>
    <w:multiLevelType w:val="hybridMultilevel"/>
    <w:tmpl w:val="FEF45E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8220CA5"/>
    <w:multiLevelType w:val="hybridMultilevel"/>
    <w:tmpl w:val="12A46CCC"/>
    <w:lvl w:ilvl="0" w:tplc="1422DC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42051EB"/>
    <w:multiLevelType w:val="hybridMultilevel"/>
    <w:tmpl w:val="18386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3"/>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29D2"/>
    <w:rsid w:val="000564AB"/>
    <w:rsid w:val="000602EA"/>
    <w:rsid w:val="00064FBD"/>
    <w:rsid w:val="0007520A"/>
    <w:rsid w:val="00082AB2"/>
    <w:rsid w:val="000906FE"/>
    <w:rsid w:val="00096AF7"/>
    <w:rsid w:val="000A701B"/>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505B3"/>
    <w:rsid w:val="00180519"/>
    <w:rsid w:val="00191C82"/>
    <w:rsid w:val="001C4003"/>
    <w:rsid w:val="001D4DBF"/>
    <w:rsid w:val="001E75CA"/>
    <w:rsid w:val="001F48EA"/>
    <w:rsid w:val="002265FF"/>
    <w:rsid w:val="0025219A"/>
    <w:rsid w:val="00271B56"/>
    <w:rsid w:val="00272E32"/>
    <w:rsid w:val="002C344E"/>
    <w:rsid w:val="002E5868"/>
    <w:rsid w:val="002E75E9"/>
    <w:rsid w:val="002F0B1E"/>
    <w:rsid w:val="00307A6A"/>
    <w:rsid w:val="00307C40"/>
    <w:rsid w:val="00320433"/>
    <w:rsid w:val="003230C7"/>
    <w:rsid w:val="00327E50"/>
    <w:rsid w:val="00334BAE"/>
    <w:rsid w:val="0033597A"/>
    <w:rsid w:val="00343D89"/>
    <w:rsid w:val="003532F8"/>
    <w:rsid w:val="00362612"/>
    <w:rsid w:val="0036743F"/>
    <w:rsid w:val="003715DD"/>
    <w:rsid w:val="003823E0"/>
    <w:rsid w:val="003A4521"/>
    <w:rsid w:val="003D1C8C"/>
    <w:rsid w:val="003E38C7"/>
    <w:rsid w:val="0040096C"/>
    <w:rsid w:val="004109F8"/>
    <w:rsid w:val="00414F1F"/>
    <w:rsid w:val="0043125D"/>
    <w:rsid w:val="0043502B"/>
    <w:rsid w:val="004443AC"/>
    <w:rsid w:val="00444B02"/>
    <w:rsid w:val="00451E28"/>
    <w:rsid w:val="004524AD"/>
    <w:rsid w:val="004539A6"/>
    <w:rsid w:val="00462C62"/>
    <w:rsid w:val="00465D36"/>
    <w:rsid w:val="004A2C0B"/>
    <w:rsid w:val="004C17EE"/>
    <w:rsid w:val="004C4BDF"/>
    <w:rsid w:val="004D1187"/>
    <w:rsid w:val="004D3AA0"/>
    <w:rsid w:val="004E1987"/>
    <w:rsid w:val="004E2E15"/>
    <w:rsid w:val="004E6E3C"/>
    <w:rsid w:val="005008D3"/>
    <w:rsid w:val="00520898"/>
    <w:rsid w:val="00523621"/>
    <w:rsid w:val="00524986"/>
    <w:rsid w:val="005268F6"/>
    <w:rsid w:val="00534284"/>
    <w:rsid w:val="005456E2"/>
    <w:rsid w:val="00547DB7"/>
    <w:rsid w:val="00557717"/>
    <w:rsid w:val="00576A86"/>
    <w:rsid w:val="005828CC"/>
    <w:rsid w:val="005C3A94"/>
    <w:rsid w:val="005F4F09"/>
    <w:rsid w:val="00603F73"/>
    <w:rsid w:val="0061431B"/>
    <w:rsid w:val="00622BAA"/>
    <w:rsid w:val="006306CF"/>
    <w:rsid w:val="00644E9A"/>
    <w:rsid w:val="0064569C"/>
    <w:rsid w:val="006526FE"/>
    <w:rsid w:val="0065564E"/>
    <w:rsid w:val="006618F3"/>
    <w:rsid w:val="00671BD5"/>
    <w:rsid w:val="006805C1"/>
    <w:rsid w:val="00686C21"/>
    <w:rsid w:val="006931C1"/>
    <w:rsid w:val="00694556"/>
    <w:rsid w:val="006A3E9C"/>
    <w:rsid w:val="006A4F52"/>
    <w:rsid w:val="006A7E91"/>
    <w:rsid w:val="006C30C5"/>
    <w:rsid w:val="006D3B31"/>
    <w:rsid w:val="006E0D96"/>
    <w:rsid w:val="006E1A53"/>
    <w:rsid w:val="006F56E6"/>
    <w:rsid w:val="006F6162"/>
    <w:rsid w:val="00704EDA"/>
    <w:rsid w:val="00721122"/>
    <w:rsid w:val="00734689"/>
    <w:rsid w:val="007351F7"/>
    <w:rsid w:val="00753019"/>
    <w:rsid w:val="00754801"/>
    <w:rsid w:val="00761441"/>
    <w:rsid w:val="007926C2"/>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6526F"/>
    <w:rsid w:val="00870890"/>
    <w:rsid w:val="00873602"/>
    <w:rsid w:val="00875D12"/>
    <w:rsid w:val="00876170"/>
    <w:rsid w:val="0088479D"/>
    <w:rsid w:val="00891F42"/>
    <w:rsid w:val="00896889"/>
    <w:rsid w:val="008A6E97"/>
    <w:rsid w:val="008C5714"/>
    <w:rsid w:val="008D10B2"/>
    <w:rsid w:val="008D3E1E"/>
    <w:rsid w:val="00903896"/>
    <w:rsid w:val="00906F3D"/>
    <w:rsid w:val="009144E6"/>
    <w:rsid w:val="0094424E"/>
    <w:rsid w:val="00955642"/>
    <w:rsid w:val="009622DF"/>
    <w:rsid w:val="009629B4"/>
    <w:rsid w:val="0096306F"/>
    <w:rsid w:val="0096493F"/>
    <w:rsid w:val="00967DFF"/>
    <w:rsid w:val="009731CD"/>
    <w:rsid w:val="00994341"/>
    <w:rsid w:val="009A615B"/>
    <w:rsid w:val="009D1A48"/>
    <w:rsid w:val="009E1CE7"/>
    <w:rsid w:val="009E461A"/>
    <w:rsid w:val="009E4EA5"/>
    <w:rsid w:val="009F164B"/>
    <w:rsid w:val="009F323C"/>
    <w:rsid w:val="00A073BF"/>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15165"/>
    <w:rsid w:val="00B5356E"/>
    <w:rsid w:val="00B70458"/>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0266"/>
    <w:rsid w:val="00C43648"/>
    <w:rsid w:val="00C50A9F"/>
    <w:rsid w:val="00C642FA"/>
    <w:rsid w:val="00C770E3"/>
    <w:rsid w:val="00CC7622"/>
    <w:rsid w:val="00CD608F"/>
    <w:rsid w:val="00CF48AB"/>
    <w:rsid w:val="00CF6BB7"/>
    <w:rsid w:val="00D04AA4"/>
    <w:rsid w:val="00D27982"/>
    <w:rsid w:val="00D33B86"/>
    <w:rsid w:val="00D44968"/>
    <w:rsid w:val="00D53924"/>
    <w:rsid w:val="00D55D0C"/>
    <w:rsid w:val="00D96D8C"/>
    <w:rsid w:val="00DA6649"/>
    <w:rsid w:val="00DC1259"/>
    <w:rsid w:val="00DC1BD2"/>
    <w:rsid w:val="00DC2571"/>
    <w:rsid w:val="00DC487C"/>
    <w:rsid w:val="00DD05A8"/>
    <w:rsid w:val="00DD4335"/>
    <w:rsid w:val="00DE1E7D"/>
    <w:rsid w:val="00DE6BF6"/>
    <w:rsid w:val="00DF165B"/>
    <w:rsid w:val="00DF3B41"/>
    <w:rsid w:val="00E00709"/>
    <w:rsid w:val="00E1068A"/>
    <w:rsid w:val="00E16E36"/>
    <w:rsid w:val="00E25884"/>
    <w:rsid w:val="00E25B55"/>
    <w:rsid w:val="00E3046E"/>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64423"/>
    <w:pPr>
      <w:bidi/>
    </w:pPr>
    <w:rPr>
      <w:rFonts w:cs="David"/>
      <w:sz w:val="24"/>
      <w:szCs w:val="24"/>
    </w:rPr>
  </w:style>
  <w:style w:type="paragraph" w:styleId="1">
    <w:name w:val="heading 1"/>
    <w:basedOn w:val="a1"/>
    <w:next w:val="a1"/>
    <w:link w:val="10"/>
    <w:qFormat/>
    <w:rsid w:val="0096306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1">
    <w:name w:val="heading 2"/>
    <w:basedOn w:val="a1"/>
    <w:next w:val="a1"/>
    <w:link w:val="22"/>
    <w:semiHidden/>
    <w:unhideWhenUsed/>
    <w:qFormat/>
    <w:rsid w:val="0096306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1">
    <w:name w:val="heading 3"/>
    <w:basedOn w:val="a1"/>
    <w:next w:val="a1"/>
    <w:link w:val="32"/>
    <w:semiHidden/>
    <w:unhideWhenUsed/>
    <w:qFormat/>
    <w:rsid w:val="0096306F"/>
    <w:pPr>
      <w:keepNext/>
      <w:keepLines/>
      <w:spacing w:before="40"/>
      <w:outlineLvl w:val="2"/>
    </w:pPr>
    <w:rPr>
      <w:rFonts w:asciiTheme="majorHAnsi" w:eastAsiaTheme="majorEastAsia" w:hAnsiTheme="majorHAnsi" w:cstheme="majorBidi"/>
      <w:color w:val="243F60" w:themeColor="accent1" w:themeShade="7F"/>
    </w:rPr>
  </w:style>
  <w:style w:type="paragraph" w:styleId="41">
    <w:name w:val="heading 4"/>
    <w:basedOn w:val="a1"/>
    <w:next w:val="a1"/>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1">
    <w:name w:val="heading 5"/>
    <w:basedOn w:val="a1"/>
    <w:next w:val="a1"/>
    <w:link w:val="52"/>
    <w:semiHidden/>
    <w:unhideWhenUsed/>
    <w:qFormat/>
    <w:rsid w:val="0096306F"/>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96306F"/>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96306F"/>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96306F"/>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96306F"/>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C64423"/>
    <w:pPr>
      <w:tabs>
        <w:tab w:val="center" w:pos="4153"/>
        <w:tab w:val="right" w:pos="8306"/>
      </w:tabs>
    </w:pPr>
  </w:style>
  <w:style w:type="paragraph" w:styleId="a6">
    <w:name w:val="footer"/>
    <w:basedOn w:val="a1"/>
    <w:rsid w:val="00C64423"/>
    <w:pPr>
      <w:tabs>
        <w:tab w:val="center" w:pos="4153"/>
        <w:tab w:val="right" w:pos="8306"/>
      </w:tabs>
    </w:pPr>
  </w:style>
  <w:style w:type="paragraph" w:customStyle="1" w:styleId="a7">
    <w:name w:val="סעיפים"/>
    <w:basedOn w:val="a1"/>
    <w:rsid w:val="00C64423"/>
    <w:pPr>
      <w:tabs>
        <w:tab w:val="left" w:pos="567"/>
        <w:tab w:val="left" w:pos="1134"/>
        <w:tab w:val="left" w:pos="1701"/>
        <w:tab w:val="left" w:pos="2268"/>
        <w:tab w:val="left" w:pos="2835"/>
        <w:tab w:val="left" w:pos="3402"/>
        <w:tab w:val="left" w:pos="3969"/>
      </w:tabs>
      <w:spacing w:line="360" w:lineRule="auto"/>
      <w:jc w:val="both"/>
    </w:pPr>
  </w:style>
  <w:style w:type="paragraph" w:styleId="a8">
    <w:name w:val="annotation text"/>
    <w:basedOn w:val="a1"/>
    <w:link w:val="a9"/>
    <w:semiHidden/>
    <w:rsid w:val="00C64423"/>
    <w:rPr>
      <w:rFonts w:cs="Times New Roman"/>
    </w:rPr>
  </w:style>
  <w:style w:type="character" w:styleId="aa">
    <w:name w:val="annotation reference"/>
    <w:basedOn w:val="a2"/>
    <w:semiHidden/>
    <w:rsid w:val="00C64423"/>
    <w:rPr>
      <w:noProof w:val="0"/>
      <w:sz w:val="16"/>
      <w:szCs w:val="16"/>
    </w:rPr>
  </w:style>
  <w:style w:type="paragraph" w:styleId="ab">
    <w:name w:val="Balloon Text"/>
    <w:basedOn w:val="a1"/>
    <w:semiHidden/>
    <w:rsid w:val="00C64423"/>
    <w:rPr>
      <w:rFonts w:ascii="Tahoma" w:hAnsi="Tahoma" w:cs="Tahoma"/>
      <w:sz w:val="16"/>
      <w:szCs w:val="16"/>
    </w:rPr>
  </w:style>
  <w:style w:type="table" w:styleId="ac">
    <w:name w:val="Table Grid"/>
    <w:basedOn w:val="a3"/>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line number"/>
    <w:basedOn w:val="a2"/>
    <w:rsid w:val="00C64423"/>
    <w:rPr>
      <w:noProof w:val="0"/>
    </w:rPr>
  </w:style>
  <w:style w:type="character" w:styleId="ae">
    <w:name w:val="page number"/>
    <w:basedOn w:val="a2"/>
    <w:rsid w:val="00C64423"/>
    <w:rPr>
      <w:noProof w:val="0"/>
    </w:rPr>
  </w:style>
  <w:style w:type="table" w:customStyle="1" w:styleId="11">
    <w:name w:val="טבלת רשת1"/>
    <w:basedOn w:val="a3"/>
    <w:next w:val="ac"/>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2"/>
    <w:uiPriority w:val="99"/>
    <w:semiHidden/>
    <w:rsid w:val="003230C7"/>
    <w:rPr>
      <w:noProof w:val="0"/>
      <w:color w:val="808080"/>
    </w:rPr>
  </w:style>
  <w:style w:type="character" w:styleId="FollowedHyperlink">
    <w:name w:val="FollowedHyperlink"/>
    <w:basedOn w:val="a2"/>
    <w:semiHidden/>
    <w:unhideWhenUsed/>
    <w:rsid w:val="0096306F"/>
    <w:rPr>
      <w:noProof w:val="0"/>
      <w:color w:val="800080" w:themeColor="followedHyperlink"/>
      <w:u w:val="single"/>
    </w:rPr>
  </w:style>
  <w:style w:type="character" w:styleId="HTMLCite">
    <w:name w:val="HTML Cite"/>
    <w:basedOn w:val="a2"/>
    <w:semiHidden/>
    <w:unhideWhenUsed/>
    <w:rsid w:val="0096306F"/>
    <w:rPr>
      <w:i/>
      <w:iCs/>
      <w:noProof w:val="0"/>
    </w:rPr>
  </w:style>
  <w:style w:type="character" w:styleId="HTMLCode">
    <w:name w:val="HTML Code"/>
    <w:basedOn w:val="a2"/>
    <w:semiHidden/>
    <w:unhideWhenUsed/>
    <w:rsid w:val="0096306F"/>
    <w:rPr>
      <w:rFonts w:ascii="Consolas" w:hAnsi="Consolas"/>
      <w:noProof w:val="0"/>
      <w:sz w:val="20"/>
      <w:szCs w:val="20"/>
    </w:rPr>
  </w:style>
  <w:style w:type="character" w:styleId="HTMLDefinition">
    <w:name w:val="HTML Definition"/>
    <w:basedOn w:val="a2"/>
    <w:semiHidden/>
    <w:unhideWhenUsed/>
    <w:rsid w:val="0096306F"/>
    <w:rPr>
      <w:i/>
      <w:iCs/>
      <w:noProof w:val="0"/>
    </w:rPr>
  </w:style>
  <w:style w:type="character" w:styleId="HTMLVariable">
    <w:name w:val="HTML Variable"/>
    <w:basedOn w:val="a2"/>
    <w:semiHidden/>
    <w:unhideWhenUsed/>
    <w:rsid w:val="0096306F"/>
    <w:rPr>
      <w:i/>
      <w:iCs/>
      <w:noProof w:val="0"/>
    </w:rPr>
  </w:style>
  <w:style w:type="paragraph" w:styleId="HTML">
    <w:name w:val="HTML Preformatted"/>
    <w:basedOn w:val="a1"/>
    <w:link w:val="HTML0"/>
    <w:semiHidden/>
    <w:unhideWhenUsed/>
    <w:rsid w:val="0096306F"/>
    <w:rPr>
      <w:rFonts w:ascii="Consolas" w:hAnsi="Consolas"/>
      <w:sz w:val="20"/>
      <w:szCs w:val="20"/>
    </w:rPr>
  </w:style>
  <w:style w:type="character" w:customStyle="1" w:styleId="HTML0">
    <w:name w:val="HTML מעוצב מראש תו"/>
    <w:basedOn w:val="a2"/>
    <w:link w:val="HTML"/>
    <w:semiHidden/>
    <w:rsid w:val="0096306F"/>
    <w:rPr>
      <w:rFonts w:ascii="Consolas" w:hAnsi="Consolas" w:cs="David"/>
      <w:noProof w:val="0"/>
    </w:rPr>
  </w:style>
  <w:style w:type="character" w:styleId="Hyperlink">
    <w:name w:val="Hyperlink"/>
    <w:basedOn w:val="a2"/>
    <w:semiHidden/>
    <w:unhideWhenUsed/>
    <w:rsid w:val="0096306F"/>
    <w:rPr>
      <w:noProof w:val="0"/>
      <w:color w:val="0000FF" w:themeColor="hyperlink"/>
      <w:u w:val="single"/>
    </w:rPr>
  </w:style>
  <w:style w:type="paragraph" w:styleId="Index1">
    <w:name w:val="index 1"/>
    <w:basedOn w:val="a1"/>
    <w:next w:val="a1"/>
    <w:autoRedefine/>
    <w:semiHidden/>
    <w:unhideWhenUsed/>
    <w:rsid w:val="0096306F"/>
    <w:pPr>
      <w:ind w:left="240" w:hanging="240"/>
    </w:pPr>
  </w:style>
  <w:style w:type="paragraph" w:styleId="Index2">
    <w:name w:val="index 2"/>
    <w:basedOn w:val="a1"/>
    <w:next w:val="a1"/>
    <w:autoRedefine/>
    <w:semiHidden/>
    <w:unhideWhenUsed/>
    <w:rsid w:val="0096306F"/>
    <w:pPr>
      <w:ind w:left="480" w:hanging="240"/>
    </w:pPr>
  </w:style>
  <w:style w:type="paragraph" w:styleId="Index3">
    <w:name w:val="index 3"/>
    <w:basedOn w:val="a1"/>
    <w:next w:val="a1"/>
    <w:autoRedefine/>
    <w:semiHidden/>
    <w:unhideWhenUsed/>
    <w:rsid w:val="0096306F"/>
    <w:pPr>
      <w:ind w:left="720" w:hanging="240"/>
    </w:pPr>
  </w:style>
  <w:style w:type="paragraph" w:styleId="Index4">
    <w:name w:val="index 4"/>
    <w:basedOn w:val="a1"/>
    <w:next w:val="a1"/>
    <w:autoRedefine/>
    <w:semiHidden/>
    <w:unhideWhenUsed/>
    <w:rsid w:val="0096306F"/>
    <w:pPr>
      <w:ind w:left="960" w:hanging="240"/>
    </w:pPr>
  </w:style>
  <w:style w:type="paragraph" w:styleId="Index5">
    <w:name w:val="index 5"/>
    <w:basedOn w:val="a1"/>
    <w:next w:val="a1"/>
    <w:autoRedefine/>
    <w:semiHidden/>
    <w:unhideWhenUsed/>
    <w:rsid w:val="0096306F"/>
    <w:pPr>
      <w:ind w:left="1200" w:hanging="240"/>
    </w:pPr>
  </w:style>
  <w:style w:type="paragraph" w:styleId="Index6">
    <w:name w:val="index 6"/>
    <w:basedOn w:val="a1"/>
    <w:next w:val="a1"/>
    <w:autoRedefine/>
    <w:semiHidden/>
    <w:unhideWhenUsed/>
    <w:rsid w:val="0096306F"/>
    <w:pPr>
      <w:ind w:left="1440" w:hanging="240"/>
    </w:pPr>
  </w:style>
  <w:style w:type="paragraph" w:styleId="Index7">
    <w:name w:val="index 7"/>
    <w:basedOn w:val="a1"/>
    <w:next w:val="a1"/>
    <w:autoRedefine/>
    <w:semiHidden/>
    <w:unhideWhenUsed/>
    <w:rsid w:val="0096306F"/>
    <w:pPr>
      <w:ind w:left="1680" w:hanging="240"/>
    </w:pPr>
  </w:style>
  <w:style w:type="paragraph" w:styleId="Index8">
    <w:name w:val="index 8"/>
    <w:basedOn w:val="a1"/>
    <w:next w:val="a1"/>
    <w:autoRedefine/>
    <w:semiHidden/>
    <w:unhideWhenUsed/>
    <w:rsid w:val="0096306F"/>
    <w:pPr>
      <w:ind w:left="1920" w:hanging="240"/>
    </w:pPr>
  </w:style>
  <w:style w:type="paragraph" w:styleId="Index9">
    <w:name w:val="index 9"/>
    <w:basedOn w:val="a1"/>
    <w:next w:val="a1"/>
    <w:autoRedefine/>
    <w:semiHidden/>
    <w:unhideWhenUsed/>
    <w:rsid w:val="0096306F"/>
    <w:pPr>
      <w:ind w:left="2160" w:hanging="240"/>
    </w:pPr>
  </w:style>
  <w:style w:type="paragraph" w:styleId="NormalWeb">
    <w:name w:val="Normal (Web)"/>
    <w:basedOn w:val="a1"/>
    <w:semiHidden/>
    <w:unhideWhenUsed/>
    <w:rsid w:val="0096306F"/>
    <w:rPr>
      <w:rFonts w:cs="Times New Roman"/>
    </w:rPr>
  </w:style>
  <w:style w:type="paragraph" w:styleId="TOC1">
    <w:name w:val="toc 1"/>
    <w:basedOn w:val="a1"/>
    <w:next w:val="a1"/>
    <w:autoRedefine/>
    <w:semiHidden/>
    <w:unhideWhenUsed/>
    <w:rsid w:val="0096306F"/>
    <w:pPr>
      <w:spacing w:after="100"/>
    </w:pPr>
  </w:style>
  <w:style w:type="paragraph" w:styleId="TOC2">
    <w:name w:val="toc 2"/>
    <w:basedOn w:val="a1"/>
    <w:next w:val="a1"/>
    <w:autoRedefine/>
    <w:semiHidden/>
    <w:unhideWhenUsed/>
    <w:rsid w:val="0096306F"/>
    <w:pPr>
      <w:spacing w:after="100"/>
      <w:ind w:left="240"/>
    </w:pPr>
  </w:style>
  <w:style w:type="paragraph" w:styleId="TOC3">
    <w:name w:val="toc 3"/>
    <w:basedOn w:val="a1"/>
    <w:next w:val="a1"/>
    <w:autoRedefine/>
    <w:semiHidden/>
    <w:unhideWhenUsed/>
    <w:rsid w:val="0096306F"/>
    <w:pPr>
      <w:spacing w:after="100"/>
      <w:ind w:left="480"/>
    </w:pPr>
  </w:style>
  <w:style w:type="paragraph" w:styleId="TOC4">
    <w:name w:val="toc 4"/>
    <w:basedOn w:val="a1"/>
    <w:next w:val="a1"/>
    <w:autoRedefine/>
    <w:semiHidden/>
    <w:unhideWhenUsed/>
    <w:rsid w:val="0096306F"/>
    <w:pPr>
      <w:spacing w:after="100"/>
      <w:ind w:left="720"/>
    </w:pPr>
  </w:style>
  <w:style w:type="paragraph" w:styleId="TOC5">
    <w:name w:val="toc 5"/>
    <w:basedOn w:val="a1"/>
    <w:next w:val="a1"/>
    <w:autoRedefine/>
    <w:semiHidden/>
    <w:unhideWhenUsed/>
    <w:rsid w:val="0096306F"/>
    <w:pPr>
      <w:spacing w:after="100"/>
      <w:ind w:left="960"/>
    </w:pPr>
  </w:style>
  <w:style w:type="paragraph" w:styleId="TOC6">
    <w:name w:val="toc 6"/>
    <w:basedOn w:val="a1"/>
    <w:next w:val="a1"/>
    <w:autoRedefine/>
    <w:semiHidden/>
    <w:unhideWhenUsed/>
    <w:rsid w:val="0096306F"/>
    <w:pPr>
      <w:spacing w:after="100"/>
      <w:ind w:left="1200"/>
    </w:pPr>
  </w:style>
  <w:style w:type="paragraph" w:styleId="TOC7">
    <w:name w:val="toc 7"/>
    <w:basedOn w:val="a1"/>
    <w:next w:val="a1"/>
    <w:autoRedefine/>
    <w:semiHidden/>
    <w:unhideWhenUsed/>
    <w:rsid w:val="0096306F"/>
    <w:pPr>
      <w:spacing w:after="100"/>
      <w:ind w:left="1440"/>
    </w:pPr>
  </w:style>
  <w:style w:type="paragraph" w:styleId="TOC8">
    <w:name w:val="toc 8"/>
    <w:basedOn w:val="a1"/>
    <w:next w:val="a1"/>
    <w:autoRedefine/>
    <w:semiHidden/>
    <w:unhideWhenUsed/>
    <w:rsid w:val="0096306F"/>
    <w:pPr>
      <w:spacing w:after="100"/>
      <w:ind w:left="1680"/>
    </w:pPr>
  </w:style>
  <w:style w:type="paragraph" w:styleId="TOC9">
    <w:name w:val="toc 9"/>
    <w:basedOn w:val="a1"/>
    <w:next w:val="a1"/>
    <w:autoRedefine/>
    <w:semiHidden/>
    <w:unhideWhenUsed/>
    <w:rsid w:val="0096306F"/>
    <w:pPr>
      <w:spacing w:after="100"/>
      <w:ind w:left="1920"/>
    </w:pPr>
  </w:style>
  <w:style w:type="table" w:styleId="-1">
    <w:name w:val="Table 3D effects 1"/>
    <w:basedOn w:val="a3"/>
    <w:semiHidden/>
    <w:unhideWhenUsed/>
    <w:rsid w:val="0096306F"/>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96306F"/>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96306F"/>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0">
    <w:name w:val="Bibliography"/>
    <w:basedOn w:val="a1"/>
    <w:next w:val="a1"/>
    <w:uiPriority w:val="37"/>
    <w:semiHidden/>
    <w:unhideWhenUsed/>
    <w:rsid w:val="0096306F"/>
  </w:style>
  <w:style w:type="paragraph" w:styleId="af1">
    <w:name w:val="Salutation"/>
    <w:basedOn w:val="a1"/>
    <w:next w:val="a1"/>
    <w:link w:val="af2"/>
    <w:rsid w:val="0096306F"/>
  </w:style>
  <w:style w:type="character" w:customStyle="1" w:styleId="af2">
    <w:name w:val="ברכה תו"/>
    <w:basedOn w:val="a2"/>
    <w:link w:val="af1"/>
    <w:rsid w:val="0096306F"/>
    <w:rPr>
      <w:rFonts w:cs="David"/>
      <w:noProof w:val="0"/>
      <w:sz w:val="24"/>
      <w:szCs w:val="24"/>
    </w:rPr>
  </w:style>
  <w:style w:type="paragraph" w:styleId="af3">
    <w:name w:val="Body Text"/>
    <w:basedOn w:val="a1"/>
    <w:link w:val="af4"/>
    <w:semiHidden/>
    <w:unhideWhenUsed/>
    <w:rsid w:val="0096306F"/>
    <w:pPr>
      <w:spacing w:after="120"/>
    </w:pPr>
  </w:style>
  <w:style w:type="character" w:customStyle="1" w:styleId="af4">
    <w:name w:val="גוף טקסט תו"/>
    <w:basedOn w:val="a2"/>
    <w:link w:val="af3"/>
    <w:semiHidden/>
    <w:rsid w:val="0096306F"/>
    <w:rPr>
      <w:rFonts w:cs="David"/>
      <w:noProof w:val="0"/>
      <w:sz w:val="24"/>
      <w:szCs w:val="24"/>
    </w:rPr>
  </w:style>
  <w:style w:type="paragraph" w:styleId="23">
    <w:name w:val="Body Text 2"/>
    <w:basedOn w:val="a1"/>
    <w:link w:val="24"/>
    <w:semiHidden/>
    <w:unhideWhenUsed/>
    <w:rsid w:val="0096306F"/>
    <w:pPr>
      <w:spacing w:after="120" w:line="480" w:lineRule="auto"/>
    </w:pPr>
  </w:style>
  <w:style w:type="character" w:customStyle="1" w:styleId="24">
    <w:name w:val="גוף טקסט 2 תו"/>
    <w:basedOn w:val="a2"/>
    <w:link w:val="23"/>
    <w:semiHidden/>
    <w:rsid w:val="0096306F"/>
    <w:rPr>
      <w:rFonts w:cs="David"/>
      <w:noProof w:val="0"/>
      <w:sz w:val="24"/>
      <w:szCs w:val="24"/>
    </w:rPr>
  </w:style>
  <w:style w:type="paragraph" w:styleId="33">
    <w:name w:val="Body Text 3"/>
    <w:basedOn w:val="a1"/>
    <w:link w:val="34"/>
    <w:semiHidden/>
    <w:unhideWhenUsed/>
    <w:rsid w:val="0096306F"/>
    <w:pPr>
      <w:spacing w:after="120"/>
    </w:pPr>
    <w:rPr>
      <w:sz w:val="16"/>
      <w:szCs w:val="16"/>
    </w:rPr>
  </w:style>
  <w:style w:type="character" w:customStyle="1" w:styleId="34">
    <w:name w:val="גוף טקסט 3 תו"/>
    <w:basedOn w:val="a2"/>
    <w:link w:val="33"/>
    <w:semiHidden/>
    <w:rsid w:val="0096306F"/>
    <w:rPr>
      <w:rFonts w:cs="David"/>
      <w:noProof w:val="0"/>
      <w:sz w:val="16"/>
      <w:szCs w:val="16"/>
    </w:rPr>
  </w:style>
  <w:style w:type="character" w:styleId="HTML1">
    <w:name w:val="HTML Sample"/>
    <w:basedOn w:val="a2"/>
    <w:semiHidden/>
    <w:unhideWhenUsed/>
    <w:rsid w:val="0096306F"/>
    <w:rPr>
      <w:rFonts w:ascii="Consolas" w:hAnsi="Consolas"/>
      <w:noProof w:val="0"/>
      <w:sz w:val="24"/>
      <w:szCs w:val="24"/>
    </w:rPr>
  </w:style>
  <w:style w:type="character" w:styleId="af5">
    <w:name w:val="Emphasis"/>
    <w:basedOn w:val="a2"/>
    <w:qFormat/>
    <w:rsid w:val="0096306F"/>
    <w:rPr>
      <w:i/>
      <w:iCs/>
      <w:noProof w:val="0"/>
    </w:rPr>
  </w:style>
  <w:style w:type="character" w:styleId="af6">
    <w:name w:val="Intense Emphasis"/>
    <w:basedOn w:val="a2"/>
    <w:uiPriority w:val="21"/>
    <w:qFormat/>
    <w:rsid w:val="0096306F"/>
    <w:rPr>
      <w:i/>
      <w:iCs/>
      <w:noProof w:val="0"/>
      <w:color w:val="4F81BD" w:themeColor="accent1"/>
    </w:rPr>
  </w:style>
  <w:style w:type="character" w:styleId="af7">
    <w:name w:val="Subtle Emphasis"/>
    <w:basedOn w:val="a2"/>
    <w:uiPriority w:val="19"/>
    <w:qFormat/>
    <w:rsid w:val="0096306F"/>
    <w:rPr>
      <w:i/>
      <w:iCs/>
      <w:noProof w:val="0"/>
      <w:color w:val="404040" w:themeColor="text1" w:themeTint="BF"/>
    </w:rPr>
  </w:style>
  <w:style w:type="paragraph" w:styleId="af8">
    <w:name w:val="List Continue"/>
    <w:basedOn w:val="a1"/>
    <w:semiHidden/>
    <w:unhideWhenUsed/>
    <w:rsid w:val="0096306F"/>
    <w:pPr>
      <w:spacing w:after="120"/>
      <w:ind w:left="283"/>
      <w:contextualSpacing/>
    </w:pPr>
  </w:style>
  <w:style w:type="paragraph" w:styleId="25">
    <w:name w:val="List Continue 2"/>
    <w:basedOn w:val="a1"/>
    <w:semiHidden/>
    <w:unhideWhenUsed/>
    <w:rsid w:val="0096306F"/>
    <w:pPr>
      <w:spacing w:after="120"/>
      <w:ind w:left="566"/>
      <w:contextualSpacing/>
    </w:pPr>
  </w:style>
  <w:style w:type="paragraph" w:styleId="35">
    <w:name w:val="List Continue 3"/>
    <w:basedOn w:val="a1"/>
    <w:semiHidden/>
    <w:unhideWhenUsed/>
    <w:rsid w:val="0096306F"/>
    <w:pPr>
      <w:spacing w:after="120"/>
      <w:ind w:left="849"/>
      <w:contextualSpacing/>
    </w:pPr>
  </w:style>
  <w:style w:type="paragraph" w:styleId="42">
    <w:name w:val="List Continue 4"/>
    <w:basedOn w:val="a1"/>
    <w:semiHidden/>
    <w:unhideWhenUsed/>
    <w:rsid w:val="0096306F"/>
    <w:pPr>
      <w:spacing w:after="120"/>
      <w:ind w:left="1132"/>
      <w:contextualSpacing/>
    </w:pPr>
  </w:style>
  <w:style w:type="paragraph" w:styleId="53">
    <w:name w:val="List Continue 5"/>
    <w:basedOn w:val="a1"/>
    <w:semiHidden/>
    <w:unhideWhenUsed/>
    <w:rsid w:val="0096306F"/>
    <w:pPr>
      <w:spacing w:after="120"/>
      <w:ind w:left="1415"/>
      <w:contextualSpacing/>
    </w:pPr>
  </w:style>
  <w:style w:type="character" w:styleId="af9">
    <w:name w:val="Intense Reference"/>
    <w:basedOn w:val="a2"/>
    <w:uiPriority w:val="32"/>
    <w:qFormat/>
    <w:rsid w:val="0096306F"/>
    <w:rPr>
      <w:b/>
      <w:bCs/>
      <w:smallCaps/>
      <w:noProof w:val="0"/>
      <w:color w:val="4F81BD" w:themeColor="accent1"/>
      <w:spacing w:val="5"/>
    </w:rPr>
  </w:style>
  <w:style w:type="character" w:styleId="afa">
    <w:name w:val="endnote reference"/>
    <w:basedOn w:val="a2"/>
    <w:semiHidden/>
    <w:unhideWhenUsed/>
    <w:rsid w:val="0096306F"/>
    <w:rPr>
      <w:noProof w:val="0"/>
      <w:vertAlign w:val="superscript"/>
    </w:rPr>
  </w:style>
  <w:style w:type="character" w:styleId="afb">
    <w:name w:val="footnote reference"/>
    <w:basedOn w:val="a2"/>
    <w:semiHidden/>
    <w:unhideWhenUsed/>
    <w:rsid w:val="0096306F"/>
    <w:rPr>
      <w:noProof w:val="0"/>
      <w:vertAlign w:val="superscript"/>
    </w:rPr>
  </w:style>
  <w:style w:type="character" w:styleId="afc">
    <w:name w:val="Subtle Reference"/>
    <w:basedOn w:val="a2"/>
    <w:uiPriority w:val="31"/>
    <w:qFormat/>
    <w:rsid w:val="0096306F"/>
    <w:rPr>
      <w:smallCaps/>
      <w:noProof w:val="0"/>
      <w:color w:val="5A5A5A" w:themeColor="text1" w:themeTint="A5"/>
    </w:rPr>
  </w:style>
  <w:style w:type="table" w:styleId="afd">
    <w:name w:val="Light Shading"/>
    <w:basedOn w:val="a3"/>
    <w:uiPriority w:val="60"/>
    <w:semiHidden/>
    <w:unhideWhenUsed/>
    <w:rsid w:val="0096306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96306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96306F"/>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96306F"/>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96306F"/>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96306F"/>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96306F"/>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96306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2">
    <w:name w:val="Medium Shading 1"/>
    <w:basedOn w:val="a3"/>
    <w:uiPriority w:val="63"/>
    <w:semiHidden/>
    <w:unhideWhenUsed/>
    <w:rsid w:val="0096306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96306F"/>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96306F"/>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96306F"/>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96306F"/>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96306F"/>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96306F"/>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w:basedOn w:val="a3"/>
    <w:uiPriority w:val="64"/>
    <w:semiHidden/>
    <w:unhideWhenUsed/>
    <w:rsid w:val="0096306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96306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96306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96306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96306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96306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e">
    <w:name w:val="Colorful Shading"/>
    <w:basedOn w:val="a3"/>
    <w:uiPriority w:val="71"/>
    <w:semiHidden/>
    <w:unhideWhenUsed/>
    <w:rsid w:val="0096306F"/>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96306F"/>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96306F"/>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96306F"/>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96306F"/>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96306F"/>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96306F"/>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f">
    <w:name w:val="Strong"/>
    <w:basedOn w:val="a2"/>
    <w:qFormat/>
    <w:rsid w:val="0096306F"/>
    <w:rPr>
      <w:b/>
      <w:bCs/>
      <w:noProof w:val="0"/>
    </w:rPr>
  </w:style>
  <w:style w:type="paragraph" w:styleId="aff0">
    <w:name w:val="Signature"/>
    <w:basedOn w:val="a1"/>
    <w:link w:val="aff1"/>
    <w:semiHidden/>
    <w:unhideWhenUsed/>
    <w:rsid w:val="0096306F"/>
    <w:pPr>
      <w:ind w:left="4252"/>
    </w:pPr>
  </w:style>
  <w:style w:type="character" w:customStyle="1" w:styleId="aff1">
    <w:name w:val="חתימה תו"/>
    <w:basedOn w:val="a2"/>
    <w:link w:val="aff0"/>
    <w:semiHidden/>
    <w:rsid w:val="0096306F"/>
    <w:rPr>
      <w:rFonts w:cs="David"/>
      <w:noProof w:val="0"/>
      <w:sz w:val="24"/>
      <w:szCs w:val="24"/>
    </w:rPr>
  </w:style>
  <w:style w:type="paragraph" w:styleId="aff2">
    <w:name w:val="E-mail Signature"/>
    <w:basedOn w:val="a1"/>
    <w:link w:val="aff3"/>
    <w:semiHidden/>
    <w:unhideWhenUsed/>
    <w:rsid w:val="0096306F"/>
  </w:style>
  <w:style w:type="character" w:customStyle="1" w:styleId="aff3">
    <w:name w:val="חתימת דואר אלקטרוני תו"/>
    <w:basedOn w:val="a2"/>
    <w:link w:val="aff2"/>
    <w:semiHidden/>
    <w:rsid w:val="0096306F"/>
    <w:rPr>
      <w:rFonts w:cs="David"/>
      <w:noProof w:val="0"/>
      <w:sz w:val="24"/>
      <w:szCs w:val="24"/>
    </w:rPr>
  </w:style>
  <w:style w:type="table" w:styleId="aff4">
    <w:name w:val="Table Elegant"/>
    <w:basedOn w:val="a3"/>
    <w:semiHidden/>
    <w:unhideWhenUsed/>
    <w:rsid w:val="0096306F"/>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5">
    <w:name w:val="Table Professional"/>
    <w:basedOn w:val="a3"/>
    <w:semiHidden/>
    <w:unhideWhenUsed/>
    <w:rsid w:val="0096306F"/>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3">
    <w:name w:val="Table Subtle 1"/>
    <w:basedOn w:val="a3"/>
    <w:semiHidden/>
    <w:unhideWhenUsed/>
    <w:rsid w:val="0096306F"/>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3"/>
    <w:semiHidden/>
    <w:unhideWhenUsed/>
    <w:rsid w:val="0096306F"/>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6">
    <w:name w:val="Table Contemporary"/>
    <w:basedOn w:val="a3"/>
    <w:semiHidden/>
    <w:unhideWhenUsed/>
    <w:rsid w:val="0096306F"/>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4">
    <w:name w:val="Table Simple 1"/>
    <w:basedOn w:val="a3"/>
    <w:semiHidden/>
    <w:unhideWhenUsed/>
    <w:rsid w:val="0096306F"/>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imple 2"/>
    <w:basedOn w:val="a3"/>
    <w:semiHidden/>
    <w:unhideWhenUsed/>
    <w:rsid w:val="0096306F"/>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3"/>
    <w:semiHidden/>
    <w:unhideWhenUsed/>
    <w:rsid w:val="0096306F"/>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5">
    <w:name w:val="Table Colorful 1"/>
    <w:basedOn w:val="a3"/>
    <w:semiHidden/>
    <w:unhideWhenUsed/>
    <w:rsid w:val="0096306F"/>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9">
    <w:name w:val="Table Colorful 2"/>
    <w:basedOn w:val="a3"/>
    <w:semiHidden/>
    <w:unhideWhenUsed/>
    <w:rsid w:val="0096306F"/>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3"/>
    <w:semiHidden/>
    <w:unhideWhenUsed/>
    <w:rsid w:val="0096306F"/>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6">
    <w:name w:val="Table Classic 1"/>
    <w:basedOn w:val="a3"/>
    <w:semiHidden/>
    <w:unhideWhenUsed/>
    <w:rsid w:val="0096306F"/>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3"/>
    <w:semiHidden/>
    <w:unhideWhenUsed/>
    <w:rsid w:val="0096306F"/>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3"/>
    <w:semiHidden/>
    <w:unhideWhenUsed/>
    <w:rsid w:val="0096306F"/>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3"/>
    <w:semiHidden/>
    <w:unhideWhenUsed/>
    <w:rsid w:val="0096306F"/>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Plain Table 1"/>
    <w:basedOn w:val="a3"/>
    <w:uiPriority w:val="41"/>
    <w:rsid w:val="0096306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b">
    <w:name w:val="Plain Table 2"/>
    <w:basedOn w:val="a3"/>
    <w:uiPriority w:val="42"/>
    <w:rsid w:val="0096306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9">
    <w:name w:val="Plain Table 3"/>
    <w:basedOn w:val="a3"/>
    <w:uiPriority w:val="43"/>
    <w:rsid w:val="0096306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4">
    <w:name w:val="Plain Table 4"/>
    <w:basedOn w:val="a3"/>
    <w:uiPriority w:val="44"/>
    <w:rsid w:val="0096306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96306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8">
    <w:name w:val="Table Web 1"/>
    <w:basedOn w:val="a3"/>
    <w:semiHidden/>
    <w:unhideWhenUsed/>
    <w:rsid w:val="0096306F"/>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c">
    <w:name w:val="Table Web 2"/>
    <w:basedOn w:val="a3"/>
    <w:semiHidden/>
    <w:unhideWhenUsed/>
    <w:rsid w:val="0096306F"/>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a">
    <w:name w:val="Table Web 3"/>
    <w:basedOn w:val="a3"/>
    <w:semiHidden/>
    <w:unhideWhenUsed/>
    <w:rsid w:val="0096306F"/>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9">
    <w:name w:val="List Table 1 Light"/>
    <w:basedOn w:val="a3"/>
    <w:uiPriority w:val="46"/>
    <w:rsid w:val="0096306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96306F"/>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96306F"/>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96306F"/>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96306F"/>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96306F"/>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96306F"/>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3"/>
    <w:uiPriority w:val="47"/>
    <w:rsid w:val="0096306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96306F"/>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96306F"/>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96306F"/>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96306F"/>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96306F"/>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96306F"/>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3"/>
    <w:uiPriority w:val="48"/>
    <w:rsid w:val="0096306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96306F"/>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96306F"/>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96306F"/>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96306F"/>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96306F"/>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96306F"/>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5">
    <w:name w:val="List Table 4"/>
    <w:basedOn w:val="a3"/>
    <w:uiPriority w:val="49"/>
    <w:rsid w:val="0096306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96306F"/>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96306F"/>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96306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96306F"/>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96306F"/>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96306F"/>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96306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96306F"/>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96306F"/>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96306F"/>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96306F"/>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96306F"/>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96306F"/>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96306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96306F"/>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96306F"/>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96306F"/>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96306F"/>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96306F"/>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96306F"/>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96306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96306F"/>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96306F"/>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96306F"/>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96306F"/>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96306F"/>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96306F"/>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a">
    <w:name w:val="Grid Table 1 Light"/>
    <w:basedOn w:val="a3"/>
    <w:uiPriority w:val="46"/>
    <w:rsid w:val="0096306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96306F"/>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96306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96306F"/>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96306F"/>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96306F"/>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96306F"/>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e">
    <w:name w:val="Grid Table 2"/>
    <w:basedOn w:val="a3"/>
    <w:uiPriority w:val="47"/>
    <w:rsid w:val="0096306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96306F"/>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96306F"/>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96306F"/>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96306F"/>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96306F"/>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96306F"/>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c">
    <w:name w:val="Grid Table 3"/>
    <w:basedOn w:val="a3"/>
    <w:uiPriority w:val="48"/>
    <w:rsid w:val="0096306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96306F"/>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96306F"/>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96306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96306F"/>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96306F"/>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96306F"/>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3"/>
    <w:uiPriority w:val="49"/>
    <w:rsid w:val="0096306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96306F"/>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96306F"/>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96306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96306F"/>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96306F"/>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96306F"/>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96306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96306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96306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96306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96306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96306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96306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96306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96306F"/>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96306F"/>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96306F"/>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96306F"/>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96306F"/>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96306F"/>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96306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96306F"/>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96306F"/>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96306F"/>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96306F"/>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96306F"/>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96306F"/>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7">
    <w:name w:val="Block Text"/>
    <w:basedOn w:val="a1"/>
    <w:semiHidden/>
    <w:unhideWhenUsed/>
    <w:rsid w:val="0096306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8">
    <w:name w:val="endnote text"/>
    <w:basedOn w:val="a1"/>
    <w:link w:val="aff9"/>
    <w:semiHidden/>
    <w:unhideWhenUsed/>
    <w:rsid w:val="0096306F"/>
    <w:rPr>
      <w:sz w:val="20"/>
      <w:szCs w:val="20"/>
    </w:rPr>
  </w:style>
  <w:style w:type="character" w:customStyle="1" w:styleId="aff9">
    <w:name w:val="טקסט הערת סיום תו"/>
    <w:basedOn w:val="a2"/>
    <w:link w:val="aff8"/>
    <w:semiHidden/>
    <w:rsid w:val="0096306F"/>
    <w:rPr>
      <w:rFonts w:cs="David"/>
      <w:noProof w:val="0"/>
    </w:rPr>
  </w:style>
  <w:style w:type="paragraph" w:styleId="affa">
    <w:name w:val="footnote text"/>
    <w:basedOn w:val="a1"/>
    <w:link w:val="affb"/>
    <w:semiHidden/>
    <w:unhideWhenUsed/>
    <w:rsid w:val="0096306F"/>
    <w:rPr>
      <w:sz w:val="20"/>
      <w:szCs w:val="20"/>
    </w:rPr>
  </w:style>
  <w:style w:type="character" w:customStyle="1" w:styleId="affb">
    <w:name w:val="טקסט הערת שוליים תו"/>
    <w:basedOn w:val="a2"/>
    <w:link w:val="affa"/>
    <w:semiHidden/>
    <w:rsid w:val="0096306F"/>
    <w:rPr>
      <w:rFonts w:cs="David"/>
      <w:noProof w:val="0"/>
    </w:rPr>
  </w:style>
  <w:style w:type="paragraph" w:styleId="affc">
    <w:name w:val="macro"/>
    <w:link w:val="affd"/>
    <w:semiHidden/>
    <w:unhideWhenUsed/>
    <w:rsid w:val="0096306F"/>
    <w:pPr>
      <w:tabs>
        <w:tab w:val="left" w:pos="480"/>
        <w:tab w:val="left" w:pos="960"/>
        <w:tab w:val="left" w:pos="1440"/>
        <w:tab w:val="left" w:pos="1920"/>
        <w:tab w:val="left" w:pos="2400"/>
        <w:tab w:val="left" w:pos="2880"/>
        <w:tab w:val="left" w:pos="3360"/>
        <w:tab w:val="left" w:pos="3840"/>
        <w:tab w:val="left" w:pos="4320"/>
      </w:tabs>
      <w:bidi/>
    </w:pPr>
    <w:rPr>
      <w:rFonts w:ascii="Consolas" w:hAnsi="Consolas" w:cs="David"/>
    </w:rPr>
  </w:style>
  <w:style w:type="character" w:customStyle="1" w:styleId="affd">
    <w:name w:val="טקסט מאקרו תו"/>
    <w:basedOn w:val="a2"/>
    <w:link w:val="affc"/>
    <w:semiHidden/>
    <w:rsid w:val="0096306F"/>
    <w:rPr>
      <w:rFonts w:ascii="Consolas" w:hAnsi="Consolas" w:cs="David"/>
      <w:noProof w:val="0"/>
    </w:rPr>
  </w:style>
  <w:style w:type="paragraph" w:styleId="affe">
    <w:name w:val="Plain Text"/>
    <w:basedOn w:val="a1"/>
    <w:link w:val="afff"/>
    <w:semiHidden/>
    <w:unhideWhenUsed/>
    <w:rsid w:val="0096306F"/>
    <w:rPr>
      <w:rFonts w:ascii="Consolas" w:hAnsi="Consolas"/>
      <w:sz w:val="21"/>
      <w:szCs w:val="21"/>
    </w:rPr>
  </w:style>
  <w:style w:type="character" w:customStyle="1" w:styleId="afff">
    <w:name w:val="טקסט רגיל תו"/>
    <w:basedOn w:val="a2"/>
    <w:link w:val="affe"/>
    <w:semiHidden/>
    <w:rsid w:val="0096306F"/>
    <w:rPr>
      <w:rFonts w:ascii="Consolas" w:hAnsi="Consolas" w:cs="David"/>
      <w:noProof w:val="0"/>
      <w:sz w:val="21"/>
      <w:szCs w:val="21"/>
    </w:rPr>
  </w:style>
  <w:style w:type="character" w:styleId="afff0">
    <w:name w:val="Book Title"/>
    <w:basedOn w:val="a2"/>
    <w:uiPriority w:val="33"/>
    <w:qFormat/>
    <w:rsid w:val="0096306F"/>
    <w:rPr>
      <w:b/>
      <w:bCs/>
      <w:i/>
      <w:iCs/>
      <w:noProof w:val="0"/>
      <w:spacing w:val="5"/>
    </w:rPr>
  </w:style>
  <w:style w:type="character" w:customStyle="1" w:styleId="10">
    <w:name w:val="כותרת 1 תו"/>
    <w:basedOn w:val="a2"/>
    <w:link w:val="1"/>
    <w:rsid w:val="0096306F"/>
    <w:rPr>
      <w:rFonts w:asciiTheme="majorHAnsi" w:eastAsiaTheme="majorEastAsia" w:hAnsiTheme="majorHAnsi" w:cstheme="majorBidi"/>
      <w:noProof w:val="0"/>
      <w:color w:val="365F91" w:themeColor="accent1" w:themeShade="BF"/>
      <w:sz w:val="32"/>
      <w:szCs w:val="32"/>
    </w:rPr>
  </w:style>
  <w:style w:type="character" w:customStyle="1" w:styleId="22">
    <w:name w:val="כותרת 2 תו"/>
    <w:basedOn w:val="a2"/>
    <w:link w:val="21"/>
    <w:semiHidden/>
    <w:rsid w:val="0096306F"/>
    <w:rPr>
      <w:rFonts w:asciiTheme="majorHAnsi" w:eastAsiaTheme="majorEastAsia" w:hAnsiTheme="majorHAnsi" w:cstheme="majorBidi"/>
      <w:noProof w:val="0"/>
      <w:color w:val="365F91" w:themeColor="accent1" w:themeShade="BF"/>
      <w:sz w:val="26"/>
      <w:szCs w:val="26"/>
    </w:rPr>
  </w:style>
  <w:style w:type="character" w:customStyle="1" w:styleId="32">
    <w:name w:val="כותרת 3 תו"/>
    <w:basedOn w:val="a2"/>
    <w:link w:val="31"/>
    <w:semiHidden/>
    <w:rsid w:val="0096306F"/>
    <w:rPr>
      <w:rFonts w:asciiTheme="majorHAnsi" w:eastAsiaTheme="majorEastAsia" w:hAnsiTheme="majorHAnsi" w:cstheme="majorBidi"/>
      <w:noProof w:val="0"/>
      <w:color w:val="243F60" w:themeColor="accent1" w:themeShade="7F"/>
      <w:sz w:val="24"/>
      <w:szCs w:val="24"/>
    </w:rPr>
  </w:style>
  <w:style w:type="character" w:customStyle="1" w:styleId="52">
    <w:name w:val="כותרת 5 תו"/>
    <w:basedOn w:val="a2"/>
    <w:link w:val="51"/>
    <w:semiHidden/>
    <w:rsid w:val="0096306F"/>
    <w:rPr>
      <w:rFonts w:asciiTheme="majorHAnsi" w:eastAsiaTheme="majorEastAsia" w:hAnsiTheme="majorHAnsi" w:cstheme="majorBidi"/>
      <w:noProof w:val="0"/>
      <w:color w:val="365F91" w:themeColor="accent1" w:themeShade="BF"/>
      <w:sz w:val="24"/>
      <w:szCs w:val="24"/>
    </w:rPr>
  </w:style>
  <w:style w:type="character" w:customStyle="1" w:styleId="60">
    <w:name w:val="כותרת 6 תו"/>
    <w:basedOn w:val="a2"/>
    <w:link w:val="6"/>
    <w:semiHidden/>
    <w:rsid w:val="0096306F"/>
    <w:rPr>
      <w:rFonts w:asciiTheme="majorHAnsi" w:eastAsiaTheme="majorEastAsia" w:hAnsiTheme="majorHAnsi" w:cstheme="majorBidi"/>
      <w:noProof w:val="0"/>
      <w:color w:val="243F60" w:themeColor="accent1" w:themeShade="7F"/>
      <w:sz w:val="24"/>
      <w:szCs w:val="24"/>
    </w:rPr>
  </w:style>
  <w:style w:type="character" w:customStyle="1" w:styleId="70">
    <w:name w:val="כותרת 7 תו"/>
    <w:basedOn w:val="a2"/>
    <w:link w:val="7"/>
    <w:semiHidden/>
    <w:rsid w:val="0096306F"/>
    <w:rPr>
      <w:rFonts w:asciiTheme="majorHAnsi" w:eastAsiaTheme="majorEastAsia" w:hAnsiTheme="majorHAnsi" w:cstheme="majorBidi"/>
      <w:i/>
      <w:iCs/>
      <w:noProof w:val="0"/>
      <w:color w:val="243F60" w:themeColor="accent1" w:themeShade="7F"/>
      <w:sz w:val="24"/>
      <w:szCs w:val="24"/>
    </w:rPr>
  </w:style>
  <w:style w:type="character" w:customStyle="1" w:styleId="80">
    <w:name w:val="כותרת 8 תו"/>
    <w:basedOn w:val="a2"/>
    <w:link w:val="8"/>
    <w:semiHidden/>
    <w:rsid w:val="0096306F"/>
    <w:rPr>
      <w:rFonts w:asciiTheme="majorHAnsi" w:eastAsiaTheme="majorEastAsia" w:hAnsiTheme="majorHAnsi" w:cstheme="majorBidi"/>
      <w:noProof w:val="0"/>
      <w:color w:val="272727" w:themeColor="text1" w:themeTint="D8"/>
      <w:sz w:val="21"/>
      <w:szCs w:val="21"/>
    </w:rPr>
  </w:style>
  <w:style w:type="character" w:customStyle="1" w:styleId="90">
    <w:name w:val="כותרת 9 תו"/>
    <w:basedOn w:val="a2"/>
    <w:link w:val="9"/>
    <w:semiHidden/>
    <w:rsid w:val="0096306F"/>
    <w:rPr>
      <w:rFonts w:asciiTheme="majorHAnsi" w:eastAsiaTheme="majorEastAsia" w:hAnsiTheme="majorHAnsi" w:cstheme="majorBidi"/>
      <w:i/>
      <w:iCs/>
      <w:noProof w:val="0"/>
      <w:color w:val="272727" w:themeColor="text1" w:themeTint="D8"/>
      <w:sz w:val="21"/>
      <w:szCs w:val="21"/>
    </w:rPr>
  </w:style>
  <w:style w:type="paragraph" w:styleId="afff1">
    <w:name w:val="index heading"/>
    <w:basedOn w:val="a1"/>
    <w:next w:val="Index1"/>
    <w:semiHidden/>
    <w:unhideWhenUsed/>
    <w:rsid w:val="0096306F"/>
    <w:rPr>
      <w:rFonts w:asciiTheme="majorHAnsi" w:eastAsiaTheme="majorEastAsia" w:hAnsiTheme="majorHAnsi" w:cstheme="majorBidi"/>
      <w:b/>
      <w:bCs/>
    </w:rPr>
  </w:style>
  <w:style w:type="paragraph" w:styleId="afff2">
    <w:name w:val="Note Heading"/>
    <w:basedOn w:val="a1"/>
    <w:next w:val="a1"/>
    <w:link w:val="afff3"/>
    <w:semiHidden/>
    <w:unhideWhenUsed/>
    <w:rsid w:val="0096306F"/>
  </w:style>
  <w:style w:type="character" w:customStyle="1" w:styleId="afff3">
    <w:name w:val="כותרת הערות תו"/>
    <w:basedOn w:val="a2"/>
    <w:link w:val="afff2"/>
    <w:semiHidden/>
    <w:rsid w:val="0096306F"/>
    <w:rPr>
      <w:rFonts w:cs="David"/>
      <w:noProof w:val="0"/>
      <w:sz w:val="24"/>
      <w:szCs w:val="24"/>
    </w:rPr>
  </w:style>
  <w:style w:type="paragraph" w:styleId="afff4">
    <w:name w:val="Title"/>
    <w:basedOn w:val="a1"/>
    <w:next w:val="a1"/>
    <w:link w:val="afff5"/>
    <w:qFormat/>
    <w:rsid w:val="0096306F"/>
    <w:pPr>
      <w:contextualSpacing/>
    </w:pPr>
    <w:rPr>
      <w:rFonts w:asciiTheme="majorHAnsi" w:eastAsiaTheme="majorEastAsia" w:hAnsiTheme="majorHAnsi" w:cstheme="majorBidi"/>
      <w:spacing w:val="-10"/>
      <w:kern w:val="28"/>
      <w:sz w:val="56"/>
      <w:szCs w:val="56"/>
    </w:rPr>
  </w:style>
  <w:style w:type="character" w:customStyle="1" w:styleId="afff5">
    <w:name w:val="כותרת טקסט תו"/>
    <w:basedOn w:val="a2"/>
    <w:link w:val="afff4"/>
    <w:rsid w:val="0096306F"/>
    <w:rPr>
      <w:rFonts w:asciiTheme="majorHAnsi" w:eastAsiaTheme="majorEastAsia" w:hAnsiTheme="majorHAnsi" w:cstheme="majorBidi"/>
      <w:noProof w:val="0"/>
      <w:spacing w:val="-10"/>
      <w:kern w:val="28"/>
      <w:sz w:val="56"/>
      <w:szCs w:val="56"/>
    </w:rPr>
  </w:style>
  <w:style w:type="paragraph" w:styleId="afff6">
    <w:name w:val="Subtitle"/>
    <w:basedOn w:val="a1"/>
    <w:next w:val="a1"/>
    <w:link w:val="afff7"/>
    <w:qFormat/>
    <w:rsid w:val="0096306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7">
    <w:name w:val="כותרת משנה תו"/>
    <w:basedOn w:val="a2"/>
    <w:link w:val="afff6"/>
    <w:rsid w:val="0096306F"/>
    <w:rPr>
      <w:rFonts w:asciiTheme="minorHAnsi" w:eastAsiaTheme="minorEastAsia" w:hAnsiTheme="minorHAnsi" w:cstheme="minorBidi"/>
      <w:noProof w:val="0"/>
      <w:color w:val="5A5A5A" w:themeColor="text1" w:themeTint="A5"/>
      <w:spacing w:val="15"/>
      <w:sz w:val="22"/>
      <w:szCs w:val="22"/>
    </w:rPr>
  </w:style>
  <w:style w:type="paragraph" w:styleId="afff8">
    <w:name w:val="Message Header"/>
    <w:basedOn w:val="a1"/>
    <w:link w:val="afff9"/>
    <w:semiHidden/>
    <w:unhideWhenUsed/>
    <w:rsid w:val="0096306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9">
    <w:name w:val="כותרת עליונה של הודעה תו"/>
    <w:basedOn w:val="a2"/>
    <w:link w:val="afff8"/>
    <w:semiHidden/>
    <w:rsid w:val="0096306F"/>
    <w:rPr>
      <w:rFonts w:asciiTheme="majorHAnsi" w:eastAsiaTheme="majorEastAsia" w:hAnsiTheme="majorHAnsi" w:cstheme="majorBidi"/>
      <w:noProof w:val="0"/>
      <w:sz w:val="24"/>
      <w:szCs w:val="24"/>
      <w:shd w:val="pct20" w:color="auto" w:fill="auto"/>
    </w:rPr>
  </w:style>
  <w:style w:type="paragraph" w:styleId="afffa">
    <w:name w:val="toa heading"/>
    <w:basedOn w:val="a1"/>
    <w:next w:val="a1"/>
    <w:semiHidden/>
    <w:unhideWhenUsed/>
    <w:rsid w:val="0096306F"/>
    <w:pPr>
      <w:spacing w:before="120"/>
    </w:pPr>
    <w:rPr>
      <w:rFonts w:asciiTheme="majorHAnsi" w:eastAsiaTheme="majorEastAsia" w:hAnsiTheme="majorHAnsi" w:cstheme="majorBidi"/>
      <w:b/>
      <w:bCs/>
    </w:rPr>
  </w:style>
  <w:style w:type="paragraph" w:styleId="afffb">
    <w:name w:val="TOC Heading"/>
    <w:basedOn w:val="1"/>
    <w:next w:val="a1"/>
    <w:uiPriority w:val="39"/>
    <w:semiHidden/>
    <w:unhideWhenUsed/>
    <w:qFormat/>
    <w:rsid w:val="0096306F"/>
    <w:pPr>
      <w:outlineLvl w:val="9"/>
    </w:pPr>
  </w:style>
  <w:style w:type="paragraph" w:styleId="afffc">
    <w:name w:val="caption"/>
    <w:basedOn w:val="a1"/>
    <w:next w:val="a1"/>
    <w:semiHidden/>
    <w:unhideWhenUsed/>
    <w:qFormat/>
    <w:rsid w:val="0096306F"/>
    <w:pPr>
      <w:spacing w:after="200"/>
    </w:pPr>
    <w:rPr>
      <w:i/>
      <w:iCs/>
      <w:color w:val="1F497D" w:themeColor="text2"/>
      <w:sz w:val="18"/>
      <w:szCs w:val="18"/>
    </w:rPr>
  </w:style>
  <w:style w:type="paragraph" w:styleId="afffd">
    <w:name w:val="Body Text Indent"/>
    <w:basedOn w:val="a1"/>
    <w:link w:val="afffe"/>
    <w:semiHidden/>
    <w:unhideWhenUsed/>
    <w:rsid w:val="0096306F"/>
    <w:pPr>
      <w:spacing w:after="120"/>
      <w:ind w:left="283"/>
    </w:pPr>
  </w:style>
  <w:style w:type="character" w:customStyle="1" w:styleId="afffe">
    <w:name w:val="כניסה בגוף טקסט תו"/>
    <w:basedOn w:val="a2"/>
    <w:link w:val="afffd"/>
    <w:semiHidden/>
    <w:rsid w:val="0096306F"/>
    <w:rPr>
      <w:rFonts w:cs="David"/>
      <w:noProof w:val="0"/>
      <w:sz w:val="24"/>
      <w:szCs w:val="24"/>
    </w:rPr>
  </w:style>
  <w:style w:type="paragraph" w:styleId="2f">
    <w:name w:val="Body Text Indent 2"/>
    <w:basedOn w:val="a1"/>
    <w:link w:val="2f0"/>
    <w:semiHidden/>
    <w:unhideWhenUsed/>
    <w:rsid w:val="0096306F"/>
    <w:pPr>
      <w:spacing w:after="120" w:line="480" w:lineRule="auto"/>
      <w:ind w:left="283"/>
    </w:pPr>
  </w:style>
  <w:style w:type="character" w:customStyle="1" w:styleId="2f0">
    <w:name w:val="כניסה בגוף טקסט 2 תו"/>
    <w:basedOn w:val="a2"/>
    <w:link w:val="2f"/>
    <w:semiHidden/>
    <w:rsid w:val="0096306F"/>
    <w:rPr>
      <w:rFonts w:cs="David"/>
      <w:noProof w:val="0"/>
      <w:sz w:val="24"/>
      <w:szCs w:val="24"/>
    </w:rPr>
  </w:style>
  <w:style w:type="paragraph" w:styleId="3d">
    <w:name w:val="Body Text Indent 3"/>
    <w:basedOn w:val="a1"/>
    <w:link w:val="3e"/>
    <w:semiHidden/>
    <w:unhideWhenUsed/>
    <w:rsid w:val="0096306F"/>
    <w:pPr>
      <w:spacing w:after="120"/>
      <w:ind w:left="283"/>
    </w:pPr>
    <w:rPr>
      <w:sz w:val="16"/>
      <w:szCs w:val="16"/>
    </w:rPr>
  </w:style>
  <w:style w:type="character" w:customStyle="1" w:styleId="3e">
    <w:name w:val="כניסה בגוף טקסט 3 תו"/>
    <w:basedOn w:val="a2"/>
    <w:link w:val="3d"/>
    <w:semiHidden/>
    <w:rsid w:val="0096306F"/>
    <w:rPr>
      <w:rFonts w:cs="David"/>
      <w:noProof w:val="0"/>
      <w:sz w:val="16"/>
      <w:szCs w:val="16"/>
    </w:rPr>
  </w:style>
  <w:style w:type="paragraph" w:styleId="affff">
    <w:name w:val="Normal Indent"/>
    <w:basedOn w:val="a1"/>
    <w:semiHidden/>
    <w:unhideWhenUsed/>
    <w:rsid w:val="0096306F"/>
    <w:pPr>
      <w:ind w:left="720"/>
    </w:pPr>
  </w:style>
  <w:style w:type="paragraph" w:styleId="affff0">
    <w:name w:val="Body Text First Indent"/>
    <w:basedOn w:val="af3"/>
    <w:link w:val="affff1"/>
    <w:rsid w:val="0096306F"/>
    <w:pPr>
      <w:spacing w:after="0"/>
      <w:ind w:firstLine="360"/>
    </w:pPr>
  </w:style>
  <w:style w:type="character" w:customStyle="1" w:styleId="affff1">
    <w:name w:val="כניסת שורה ראשונה בגוף טקסט תו"/>
    <w:basedOn w:val="af4"/>
    <w:link w:val="affff0"/>
    <w:rsid w:val="0096306F"/>
    <w:rPr>
      <w:rFonts w:cs="David"/>
      <w:noProof w:val="0"/>
      <w:sz w:val="24"/>
      <w:szCs w:val="24"/>
    </w:rPr>
  </w:style>
  <w:style w:type="paragraph" w:styleId="2f1">
    <w:name w:val="Body Text First Indent 2"/>
    <w:basedOn w:val="afffd"/>
    <w:link w:val="2f2"/>
    <w:semiHidden/>
    <w:unhideWhenUsed/>
    <w:rsid w:val="0096306F"/>
    <w:pPr>
      <w:spacing w:after="0"/>
      <w:ind w:left="360" w:firstLine="360"/>
    </w:pPr>
  </w:style>
  <w:style w:type="character" w:customStyle="1" w:styleId="2f2">
    <w:name w:val="כניסת שורה ראשונה בגוף טקסט 2 תו"/>
    <w:basedOn w:val="afffe"/>
    <w:link w:val="2f1"/>
    <w:semiHidden/>
    <w:rsid w:val="0096306F"/>
    <w:rPr>
      <w:rFonts w:cs="David"/>
      <w:noProof w:val="0"/>
      <w:sz w:val="24"/>
      <w:szCs w:val="24"/>
    </w:rPr>
  </w:style>
  <w:style w:type="paragraph" w:styleId="HTML2">
    <w:name w:val="HTML Address"/>
    <w:basedOn w:val="a1"/>
    <w:link w:val="HTML3"/>
    <w:semiHidden/>
    <w:unhideWhenUsed/>
    <w:rsid w:val="0096306F"/>
    <w:rPr>
      <w:i/>
      <w:iCs/>
    </w:rPr>
  </w:style>
  <w:style w:type="character" w:customStyle="1" w:styleId="HTML3">
    <w:name w:val="כתובת HTML תו"/>
    <w:basedOn w:val="a2"/>
    <w:link w:val="HTML2"/>
    <w:semiHidden/>
    <w:rsid w:val="0096306F"/>
    <w:rPr>
      <w:rFonts w:cs="David"/>
      <w:i/>
      <w:iCs/>
      <w:noProof w:val="0"/>
      <w:sz w:val="24"/>
      <w:szCs w:val="24"/>
    </w:rPr>
  </w:style>
  <w:style w:type="paragraph" w:styleId="affff2">
    <w:name w:val="envelope address"/>
    <w:basedOn w:val="a1"/>
    <w:semiHidden/>
    <w:unhideWhenUsed/>
    <w:rsid w:val="0096306F"/>
    <w:pPr>
      <w:framePr w:w="7920" w:h="1980" w:hRule="exact" w:hSpace="180" w:wrap="auto" w:hAnchor="page" w:xAlign="center" w:yAlign="bottom"/>
      <w:ind w:left="2880"/>
    </w:pPr>
    <w:rPr>
      <w:rFonts w:asciiTheme="majorHAnsi" w:eastAsiaTheme="majorEastAsia" w:hAnsiTheme="majorHAnsi" w:cstheme="majorBidi"/>
    </w:rPr>
  </w:style>
  <w:style w:type="paragraph" w:styleId="affff3">
    <w:name w:val="envelope return"/>
    <w:basedOn w:val="a1"/>
    <w:semiHidden/>
    <w:unhideWhenUsed/>
    <w:rsid w:val="0096306F"/>
    <w:rPr>
      <w:rFonts w:asciiTheme="majorHAnsi" w:eastAsiaTheme="majorEastAsia" w:hAnsiTheme="majorHAnsi" w:cstheme="majorBidi"/>
      <w:sz w:val="20"/>
      <w:szCs w:val="20"/>
    </w:rPr>
  </w:style>
  <w:style w:type="paragraph" w:styleId="affff4">
    <w:name w:val="No Spacing"/>
    <w:uiPriority w:val="1"/>
    <w:qFormat/>
    <w:rsid w:val="0096306F"/>
    <w:pPr>
      <w:bidi/>
    </w:pPr>
    <w:rPr>
      <w:rFonts w:cs="David"/>
      <w:sz w:val="24"/>
      <w:szCs w:val="24"/>
    </w:rPr>
  </w:style>
  <w:style w:type="character" w:styleId="HTML4">
    <w:name w:val="HTML Typewriter"/>
    <w:basedOn w:val="a2"/>
    <w:semiHidden/>
    <w:unhideWhenUsed/>
    <w:rsid w:val="0096306F"/>
    <w:rPr>
      <w:rFonts w:ascii="Consolas" w:hAnsi="Consolas"/>
      <w:noProof w:val="0"/>
      <w:sz w:val="20"/>
      <w:szCs w:val="20"/>
    </w:rPr>
  </w:style>
  <w:style w:type="paragraph" w:styleId="affff5">
    <w:name w:val="Document Map"/>
    <w:basedOn w:val="a1"/>
    <w:link w:val="affff6"/>
    <w:semiHidden/>
    <w:unhideWhenUsed/>
    <w:rsid w:val="0096306F"/>
    <w:rPr>
      <w:rFonts w:ascii="Tahoma" w:hAnsi="Tahoma" w:cs="Tahoma"/>
      <w:sz w:val="16"/>
      <w:szCs w:val="16"/>
    </w:rPr>
  </w:style>
  <w:style w:type="character" w:customStyle="1" w:styleId="affff6">
    <w:name w:val="מפת מסמך תו"/>
    <w:basedOn w:val="a2"/>
    <w:link w:val="affff5"/>
    <w:semiHidden/>
    <w:rsid w:val="0096306F"/>
    <w:rPr>
      <w:rFonts w:ascii="Tahoma" w:hAnsi="Tahoma" w:cs="Tahoma"/>
      <w:noProof w:val="0"/>
      <w:sz w:val="16"/>
      <w:szCs w:val="16"/>
    </w:rPr>
  </w:style>
  <w:style w:type="character" w:styleId="HTML5">
    <w:name w:val="HTML Keyboard"/>
    <w:basedOn w:val="a2"/>
    <w:semiHidden/>
    <w:unhideWhenUsed/>
    <w:rsid w:val="0096306F"/>
    <w:rPr>
      <w:rFonts w:ascii="Consolas" w:hAnsi="Consolas"/>
      <w:noProof w:val="0"/>
      <w:sz w:val="20"/>
      <w:szCs w:val="20"/>
    </w:rPr>
  </w:style>
  <w:style w:type="paragraph" w:styleId="affff7">
    <w:name w:val="annotation subject"/>
    <w:basedOn w:val="a8"/>
    <w:next w:val="a8"/>
    <w:link w:val="affff8"/>
    <w:semiHidden/>
    <w:unhideWhenUsed/>
    <w:rsid w:val="0096306F"/>
    <w:rPr>
      <w:rFonts w:cs="David"/>
      <w:b/>
      <w:bCs/>
      <w:sz w:val="20"/>
      <w:szCs w:val="20"/>
    </w:rPr>
  </w:style>
  <w:style w:type="character" w:customStyle="1" w:styleId="a9">
    <w:name w:val="טקסט הערה תו"/>
    <w:basedOn w:val="a2"/>
    <w:link w:val="a8"/>
    <w:semiHidden/>
    <w:rsid w:val="0096306F"/>
    <w:rPr>
      <w:noProof w:val="0"/>
      <w:sz w:val="24"/>
      <w:szCs w:val="24"/>
    </w:rPr>
  </w:style>
  <w:style w:type="character" w:customStyle="1" w:styleId="affff8">
    <w:name w:val="נושא הערה תו"/>
    <w:basedOn w:val="a9"/>
    <w:link w:val="affff7"/>
    <w:semiHidden/>
    <w:rsid w:val="0096306F"/>
    <w:rPr>
      <w:rFonts w:cs="David"/>
      <w:b/>
      <w:bCs/>
      <w:noProof w:val="0"/>
      <w:sz w:val="24"/>
      <w:szCs w:val="24"/>
    </w:rPr>
  </w:style>
  <w:style w:type="table" w:styleId="affff9">
    <w:name w:val="Table Theme"/>
    <w:basedOn w:val="a3"/>
    <w:semiHidden/>
    <w:unhideWhenUsed/>
    <w:rsid w:val="0096306F"/>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a">
    <w:name w:val="Closing"/>
    <w:basedOn w:val="a1"/>
    <w:link w:val="affffb"/>
    <w:semiHidden/>
    <w:unhideWhenUsed/>
    <w:rsid w:val="0096306F"/>
    <w:pPr>
      <w:ind w:left="4252"/>
    </w:pPr>
  </w:style>
  <w:style w:type="character" w:customStyle="1" w:styleId="affffb">
    <w:name w:val="סיום תו"/>
    <w:basedOn w:val="a2"/>
    <w:link w:val="affffa"/>
    <w:semiHidden/>
    <w:rsid w:val="0096306F"/>
    <w:rPr>
      <w:rFonts w:cs="David"/>
      <w:noProof w:val="0"/>
      <w:sz w:val="24"/>
      <w:szCs w:val="24"/>
    </w:rPr>
  </w:style>
  <w:style w:type="table" w:styleId="1b">
    <w:name w:val="Table Columns 1"/>
    <w:basedOn w:val="a3"/>
    <w:semiHidden/>
    <w:unhideWhenUsed/>
    <w:rsid w:val="0096306F"/>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3"/>
    <w:semiHidden/>
    <w:unhideWhenUsed/>
    <w:rsid w:val="0096306F"/>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3"/>
    <w:semiHidden/>
    <w:unhideWhenUsed/>
    <w:rsid w:val="0096306F"/>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3"/>
    <w:semiHidden/>
    <w:unhideWhenUsed/>
    <w:rsid w:val="0096306F"/>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96306F"/>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c">
    <w:name w:val="List Paragraph"/>
    <w:basedOn w:val="a1"/>
    <w:uiPriority w:val="34"/>
    <w:qFormat/>
    <w:rsid w:val="0096306F"/>
    <w:pPr>
      <w:ind w:left="720"/>
      <w:contextualSpacing/>
    </w:pPr>
  </w:style>
  <w:style w:type="paragraph" w:styleId="affffd">
    <w:name w:val="Quote"/>
    <w:basedOn w:val="a1"/>
    <w:next w:val="a1"/>
    <w:link w:val="affffe"/>
    <w:uiPriority w:val="29"/>
    <w:qFormat/>
    <w:rsid w:val="0096306F"/>
    <w:pPr>
      <w:spacing w:before="200" w:after="160"/>
      <w:ind w:left="864" w:right="864"/>
      <w:jc w:val="center"/>
    </w:pPr>
    <w:rPr>
      <w:i/>
      <w:iCs/>
      <w:color w:val="404040" w:themeColor="text1" w:themeTint="BF"/>
    </w:rPr>
  </w:style>
  <w:style w:type="character" w:customStyle="1" w:styleId="affffe">
    <w:name w:val="ציטוט תו"/>
    <w:basedOn w:val="a2"/>
    <w:link w:val="affffd"/>
    <w:uiPriority w:val="29"/>
    <w:rsid w:val="0096306F"/>
    <w:rPr>
      <w:rFonts w:cs="David"/>
      <w:i/>
      <w:iCs/>
      <w:noProof w:val="0"/>
      <w:color w:val="404040" w:themeColor="text1" w:themeTint="BF"/>
      <w:sz w:val="24"/>
      <w:szCs w:val="24"/>
    </w:rPr>
  </w:style>
  <w:style w:type="paragraph" w:styleId="afffff">
    <w:name w:val="Intense Quote"/>
    <w:basedOn w:val="a1"/>
    <w:next w:val="a1"/>
    <w:link w:val="afffff0"/>
    <w:uiPriority w:val="30"/>
    <w:qFormat/>
    <w:rsid w:val="0096306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0">
    <w:name w:val="ציטוט חזק תו"/>
    <w:basedOn w:val="a2"/>
    <w:link w:val="afffff"/>
    <w:uiPriority w:val="30"/>
    <w:rsid w:val="0096306F"/>
    <w:rPr>
      <w:rFonts w:cs="David"/>
      <w:i/>
      <w:iCs/>
      <w:noProof w:val="0"/>
      <w:color w:val="4F81BD" w:themeColor="accent1"/>
      <w:sz w:val="24"/>
      <w:szCs w:val="24"/>
    </w:rPr>
  </w:style>
  <w:style w:type="character" w:styleId="HTML6">
    <w:name w:val="HTML Acronym"/>
    <w:basedOn w:val="a2"/>
    <w:semiHidden/>
    <w:unhideWhenUsed/>
    <w:rsid w:val="0096306F"/>
    <w:rPr>
      <w:noProof w:val="0"/>
    </w:rPr>
  </w:style>
  <w:style w:type="paragraph" w:styleId="afffff1">
    <w:name w:val="List"/>
    <w:basedOn w:val="a1"/>
    <w:semiHidden/>
    <w:unhideWhenUsed/>
    <w:rsid w:val="0096306F"/>
    <w:pPr>
      <w:ind w:left="283" w:hanging="283"/>
      <w:contextualSpacing/>
    </w:pPr>
  </w:style>
  <w:style w:type="paragraph" w:styleId="2f4">
    <w:name w:val="List 2"/>
    <w:basedOn w:val="a1"/>
    <w:semiHidden/>
    <w:unhideWhenUsed/>
    <w:rsid w:val="0096306F"/>
    <w:pPr>
      <w:ind w:left="566" w:hanging="283"/>
      <w:contextualSpacing/>
    </w:pPr>
  </w:style>
  <w:style w:type="paragraph" w:styleId="3f0">
    <w:name w:val="List 3"/>
    <w:basedOn w:val="a1"/>
    <w:semiHidden/>
    <w:unhideWhenUsed/>
    <w:rsid w:val="0096306F"/>
    <w:pPr>
      <w:ind w:left="849" w:hanging="283"/>
      <w:contextualSpacing/>
    </w:pPr>
  </w:style>
  <w:style w:type="paragraph" w:styleId="48">
    <w:name w:val="List 4"/>
    <w:basedOn w:val="a1"/>
    <w:rsid w:val="0096306F"/>
    <w:pPr>
      <w:ind w:left="1132" w:hanging="283"/>
      <w:contextualSpacing/>
    </w:pPr>
  </w:style>
  <w:style w:type="paragraph" w:styleId="58">
    <w:name w:val="List 5"/>
    <w:basedOn w:val="a1"/>
    <w:rsid w:val="0096306F"/>
    <w:pPr>
      <w:ind w:left="1415" w:hanging="283"/>
      <w:contextualSpacing/>
    </w:pPr>
  </w:style>
  <w:style w:type="table" w:styleId="afffff2">
    <w:name w:val="Light List"/>
    <w:basedOn w:val="a3"/>
    <w:uiPriority w:val="61"/>
    <w:semiHidden/>
    <w:unhideWhenUsed/>
    <w:rsid w:val="0096306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96306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96306F"/>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96306F"/>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96306F"/>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96306F"/>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96306F"/>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c">
    <w:name w:val="Table List 1"/>
    <w:basedOn w:val="a3"/>
    <w:semiHidden/>
    <w:unhideWhenUsed/>
    <w:rsid w:val="0096306F"/>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3"/>
    <w:semiHidden/>
    <w:unhideWhenUsed/>
    <w:rsid w:val="0096306F"/>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3"/>
    <w:semiHidden/>
    <w:unhideWhenUsed/>
    <w:rsid w:val="0096306F"/>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3"/>
    <w:semiHidden/>
    <w:unhideWhenUsed/>
    <w:rsid w:val="0096306F"/>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96306F"/>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96306F"/>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96306F"/>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96306F"/>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d">
    <w:name w:val="Medium List 1"/>
    <w:basedOn w:val="a3"/>
    <w:uiPriority w:val="65"/>
    <w:semiHidden/>
    <w:unhideWhenUsed/>
    <w:rsid w:val="0096306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96306F"/>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96306F"/>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96306F"/>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96306F"/>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96306F"/>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96306F"/>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6">
    <w:name w:val="Medium List 2"/>
    <w:basedOn w:val="a3"/>
    <w:uiPriority w:val="66"/>
    <w:semiHidden/>
    <w:unhideWhenUsed/>
    <w:rsid w:val="0096306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96306F"/>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96306F"/>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96306F"/>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96306F"/>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96306F"/>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96306F"/>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3">
    <w:name w:val="Dark List"/>
    <w:basedOn w:val="a3"/>
    <w:uiPriority w:val="70"/>
    <w:semiHidden/>
    <w:unhideWhenUsed/>
    <w:rsid w:val="0096306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96306F"/>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96306F"/>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96306F"/>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96306F"/>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96306F"/>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96306F"/>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96306F"/>
    <w:pPr>
      <w:numPr>
        <w:numId w:val="1"/>
      </w:numPr>
      <w:contextualSpacing/>
    </w:pPr>
  </w:style>
  <w:style w:type="paragraph" w:styleId="2">
    <w:name w:val="List Number 2"/>
    <w:basedOn w:val="a1"/>
    <w:semiHidden/>
    <w:unhideWhenUsed/>
    <w:rsid w:val="0096306F"/>
    <w:pPr>
      <w:numPr>
        <w:numId w:val="2"/>
      </w:numPr>
      <w:contextualSpacing/>
    </w:pPr>
  </w:style>
  <w:style w:type="paragraph" w:styleId="3">
    <w:name w:val="List Number 3"/>
    <w:basedOn w:val="a1"/>
    <w:semiHidden/>
    <w:unhideWhenUsed/>
    <w:rsid w:val="0096306F"/>
    <w:pPr>
      <w:numPr>
        <w:numId w:val="3"/>
      </w:numPr>
      <w:contextualSpacing/>
    </w:pPr>
  </w:style>
  <w:style w:type="paragraph" w:styleId="4">
    <w:name w:val="List Number 4"/>
    <w:basedOn w:val="a1"/>
    <w:semiHidden/>
    <w:unhideWhenUsed/>
    <w:rsid w:val="0096306F"/>
    <w:pPr>
      <w:numPr>
        <w:numId w:val="4"/>
      </w:numPr>
      <w:contextualSpacing/>
    </w:pPr>
  </w:style>
  <w:style w:type="paragraph" w:styleId="5">
    <w:name w:val="List Number 5"/>
    <w:basedOn w:val="a1"/>
    <w:semiHidden/>
    <w:unhideWhenUsed/>
    <w:rsid w:val="0096306F"/>
    <w:pPr>
      <w:numPr>
        <w:numId w:val="5"/>
      </w:numPr>
      <w:contextualSpacing/>
    </w:pPr>
  </w:style>
  <w:style w:type="paragraph" w:styleId="a0">
    <w:name w:val="List Bullet"/>
    <w:basedOn w:val="a1"/>
    <w:semiHidden/>
    <w:unhideWhenUsed/>
    <w:rsid w:val="0096306F"/>
    <w:pPr>
      <w:numPr>
        <w:numId w:val="6"/>
      </w:numPr>
      <w:contextualSpacing/>
    </w:pPr>
  </w:style>
  <w:style w:type="paragraph" w:styleId="20">
    <w:name w:val="List Bullet 2"/>
    <w:basedOn w:val="a1"/>
    <w:semiHidden/>
    <w:unhideWhenUsed/>
    <w:rsid w:val="0096306F"/>
    <w:pPr>
      <w:numPr>
        <w:numId w:val="7"/>
      </w:numPr>
      <w:contextualSpacing/>
    </w:pPr>
  </w:style>
  <w:style w:type="paragraph" w:styleId="30">
    <w:name w:val="List Bullet 3"/>
    <w:basedOn w:val="a1"/>
    <w:semiHidden/>
    <w:unhideWhenUsed/>
    <w:rsid w:val="0096306F"/>
    <w:pPr>
      <w:numPr>
        <w:numId w:val="8"/>
      </w:numPr>
      <w:contextualSpacing/>
    </w:pPr>
  </w:style>
  <w:style w:type="paragraph" w:styleId="40">
    <w:name w:val="List Bullet 4"/>
    <w:basedOn w:val="a1"/>
    <w:semiHidden/>
    <w:unhideWhenUsed/>
    <w:rsid w:val="0096306F"/>
    <w:pPr>
      <w:numPr>
        <w:numId w:val="9"/>
      </w:numPr>
      <w:contextualSpacing/>
    </w:pPr>
  </w:style>
  <w:style w:type="paragraph" w:styleId="50">
    <w:name w:val="List Bullet 5"/>
    <w:basedOn w:val="a1"/>
    <w:semiHidden/>
    <w:unhideWhenUsed/>
    <w:rsid w:val="0096306F"/>
    <w:pPr>
      <w:numPr>
        <w:numId w:val="10"/>
      </w:numPr>
      <w:contextualSpacing/>
    </w:pPr>
  </w:style>
  <w:style w:type="table" w:styleId="afffff4">
    <w:name w:val="Colorful List"/>
    <w:basedOn w:val="a3"/>
    <w:uiPriority w:val="72"/>
    <w:semiHidden/>
    <w:unhideWhenUsed/>
    <w:rsid w:val="0096306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96306F"/>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96306F"/>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96306F"/>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96306F"/>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96306F"/>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96306F"/>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5">
    <w:name w:val="table of figures"/>
    <w:basedOn w:val="a1"/>
    <w:next w:val="a1"/>
    <w:semiHidden/>
    <w:unhideWhenUsed/>
    <w:rsid w:val="0096306F"/>
  </w:style>
  <w:style w:type="paragraph" w:styleId="afffff6">
    <w:name w:val="table of authorities"/>
    <w:basedOn w:val="a1"/>
    <w:next w:val="a1"/>
    <w:semiHidden/>
    <w:unhideWhenUsed/>
    <w:rsid w:val="0096306F"/>
    <w:pPr>
      <w:ind w:left="240" w:hanging="240"/>
    </w:pPr>
  </w:style>
  <w:style w:type="table" w:styleId="afffff7">
    <w:name w:val="Light Grid"/>
    <w:basedOn w:val="a3"/>
    <w:uiPriority w:val="62"/>
    <w:semiHidden/>
    <w:unhideWhenUsed/>
    <w:rsid w:val="0096306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96306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96306F"/>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96306F"/>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96306F"/>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96306F"/>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96306F"/>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96306F"/>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e">
    <w:name w:val="Medium Grid 1"/>
    <w:basedOn w:val="a3"/>
    <w:uiPriority w:val="67"/>
    <w:semiHidden/>
    <w:unhideWhenUsed/>
    <w:rsid w:val="0096306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96306F"/>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96306F"/>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96306F"/>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96306F"/>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96306F"/>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7">
    <w:name w:val="Medium Grid 2"/>
    <w:basedOn w:val="a3"/>
    <w:uiPriority w:val="68"/>
    <w:semiHidden/>
    <w:unhideWhenUsed/>
    <w:rsid w:val="0096306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96306F"/>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96306F"/>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96306F"/>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96306F"/>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96306F"/>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96306F"/>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2">
    <w:name w:val="Medium Grid 3"/>
    <w:basedOn w:val="a3"/>
    <w:uiPriority w:val="69"/>
    <w:semiHidden/>
    <w:unhideWhenUsed/>
    <w:rsid w:val="0096306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96306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96306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96306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96306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96306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96306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f">
    <w:name w:val="Table Grid 1"/>
    <w:basedOn w:val="a3"/>
    <w:semiHidden/>
    <w:unhideWhenUsed/>
    <w:rsid w:val="0096306F"/>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3"/>
    <w:semiHidden/>
    <w:unhideWhenUsed/>
    <w:rsid w:val="0096306F"/>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3">
    <w:name w:val="Table Grid 3"/>
    <w:basedOn w:val="a3"/>
    <w:semiHidden/>
    <w:unhideWhenUsed/>
    <w:rsid w:val="0096306F"/>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3"/>
    <w:semiHidden/>
    <w:unhideWhenUsed/>
    <w:rsid w:val="0096306F"/>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96306F"/>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96306F"/>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96306F"/>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96306F"/>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8">
    <w:name w:val="Grid Table Light"/>
    <w:basedOn w:val="a3"/>
    <w:uiPriority w:val="40"/>
    <w:rsid w:val="0096306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9">
    <w:name w:val="Colorful Grid"/>
    <w:basedOn w:val="a3"/>
    <w:uiPriority w:val="73"/>
    <w:semiHidden/>
    <w:unhideWhenUsed/>
    <w:rsid w:val="0096306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96306F"/>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96306F"/>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96306F"/>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96306F"/>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96306F"/>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96306F"/>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a">
    <w:name w:val="Date"/>
    <w:basedOn w:val="a1"/>
    <w:next w:val="a1"/>
    <w:link w:val="afffffb"/>
    <w:rsid w:val="0096306F"/>
  </w:style>
  <w:style w:type="character" w:customStyle="1" w:styleId="afffffb">
    <w:name w:val="תאריך תו"/>
    <w:basedOn w:val="a2"/>
    <w:link w:val="afffffa"/>
    <w:rsid w:val="0096306F"/>
    <w:rPr>
      <w:rFonts w:cs="David"/>
      <w:noProof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4602086">
      <w:bodyDiv w:val="1"/>
      <w:marLeft w:val="0"/>
      <w:marRight w:val="0"/>
      <w:marTop w:val="0"/>
      <w:marBottom w:val="0"/>
      <w:divBdr>
        <w:top w:val="none" w:sz="0" w:space="0" w:color="auto"/>
        <w:left w:val="none" w:sz="0" w:space="0" w:color="auto"/>
        <w:bottom w:val="none" w:sz="0" w:space="0" w:color="auto"/>
        <w:right w:val="none" w:sz="0" w:space="0" w:color="auto"/>
      </w:divBdr>
    </w:div>
    <w:div w:id="69766012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22648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aw/196390"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jp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5D3D8A" w:rsidP="005D3D8A">
          <w:pPr>
            <w:pStyle w:val="E460D38E05664FF79D4EFF282EF8EC9926"/>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haroni">
    <w:panose1 w:val="02010803020104030203"/>
    <w:charset w:val="00"/>
    <w:family w:val="auto"/>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E47ED"/>
    <w:rsid w:val="002D02C4"/>
    <w:rsid w:val="00345C9D"/>
    <w:rsid w:val="0048651F"/>
    <w:rsid w:val="005157ED"/>
    <w:rsid w:val="005171E8"/>
    <w:rsid w:val="00556D67"/>
    <w:rsid w:val="005D3D8A"/>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D3D8A"/>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5D3D8A"/>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1527</Words>
  <Characters>7637</Characters>
  <Application>Microsoft Office Word</Application>
  <DocSecurity>4</DocSecurity>
  <Lines>63</Lines>
  <Paragraphs>18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אטל אזרואל</cp:lastModifiedBy>
  <cp:revision>2</cp:revision>
  <dcterms:created xsi:type="dcterms:W3CDTF">2023-06-25T11:27:00Z</dcterms:created>
  <dcterms:modified xsi:type="dcterms:W3CDTF">2023-06-25T11:27:00Z</dcterms:modified>
</cp:coreProperties>
</file>